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emf" ContentType="image/x-emf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708"/>
        <w:ind w:firstLine="539"/>
        <w:jc w:val="center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Типовые замечания </w:t>
      </w:r>
      <w:r>
        <w:rPr>
          <w:rFonts w:ascii="Times New Roman" w:hAnsi="Times New Roman" w:cs="Times New Roman"/>
          <w:sz w:val="28"/>
          <w:szCs w:val="28"/>
        </w:rPr>
        <w:t xml:space="preserve">встречающиеся </w:t>
      </w:r>
      <w:r>
        <w:rPr>
          <w:rFonts w:ascii="Times New Roman" w:hAnsi="Times New Roman" w:cs="Times New Roman"/>
          <w:sz w:val="28"/>
          <w:szCs w:val="28"/>
        </w:rPr>
        <w:t xml:space="preserve">при проверке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ind w:firstLine="539"/>
        <w:jc w:val="center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материалов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инженерно-геодезических изысканий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ind w:firstLine="539"/>
        <w:jc w:val="center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сдаваемых в фонд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ind w:firstLine="539"/>
        <w:jc w:val="center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 отчету</w:t>
      </w:r>
      <w:r>
        <w:rPr>
          <w:rFonts w:ascii="Times New Roman" w:hAnsi="Times New Roman" w:cs="Times New Roman"/>
          <w:sz w:val="28"/>
          <w:szCs w:val="28"/>
        </w:rPr>
        <w:t xml:space="preserve">: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приложены документы (забывают вкладывать):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Пояснитель</w:t>
      </w:r>
      <w:r>
        <w:rPr>
          <w:rFonts w:ascii="Times New Roman" w:hAnsi="Times New Roman" w:cs="Times New Roman"/>
          <w:sz w:val="28"/>
          <w:szCs w:val="28"/>
        </w:rPr>
        <w:t xml:space="preserve">ная</w:t>
      </w:r>
      <w:r>
        <w:rPr>
          <w:rFonts w:ascii="Times New Roman" w:hAnsi="Times New Roman" w:cs="Times New Roman"/>
          <w:sz w:val="28"/>
          <w:szCs w:val="28"/>
        </w:rPr>
        <w:t xml:space="preserve"> записка, в состав которой входит топографо-геодезическая изученность в районе работ, сведения о методике работ, сведения о проведении внутреннего технического контроля и т.д. 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Выписка членства в СРО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Лицензия на картографическую деятельность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876550" cy="3978967"/>
                <wp:effectExtent l="0" t="0" r="0" b="254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0367038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2913586" cy="40301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226.50pt;height:313.30pt;mso-wrap-distance-left:0.00pt;mso-wrap-distance-top:0.00pt;mso-wrap-distance-right:0.00pt;mso-wrap-distance-bottom:0.00pt;" stroked="false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819400" cy="3882136"/>
                <wp:effectExtent l="0" t="0" r="0" b="4445"/>
                <wp:docPr id="2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8834869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2841657" cy="39127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222.00pt;height:305.68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оверки приборов (метрология)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62300" cy="4495083"/>
                <wp:effectExtent l="0" t="0" r="0" b="1270"/>
                <wp:docPr id="3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789890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3167787" cy="45028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249.00pt;height:353.94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,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Выписка исходных данных (координаты и высоты пунктов)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right"/>
      </w:pPr>
      <w:r/>
      <w:r/>
    </w:p>
    <w:p>
      <w:pPr>
        <w:jc w:val="center"/>
        <w:rPr>
          <w:sz w:val="12"/>
          <w:szCs w:val="12"/>
        </w:rPr>
      </w:pPr>
      <w:r>
        <w:rPr>
          <w:sz w:val="12"/>
          <w:szCs w:val="12"/>
        </w:rPr>
        <w:t xml:space="preserve">Правительство Новосибирской области</w:t>
      </w:r>
      <w:r>
        <w:rPr>
          <w:sz w:val="12"/>
          <w:szCs w:val="12"/>
        </w:rPr>
      </w:r>
    </w:p>
    <w:p>
      <w:pPr>
        <w:jc w:val="center"/>
        <w:rPr>
          <w:sz w:val="12"/>
          <w:szCs w:val="12"/>
        </w:rPr>
      </w:pPr>
      <w:r>
        <w:rPr>
          <w:sz w:val="12"/>
          <w:szCs w:val="12"/>
        </w:rPr>
        <w:t xml:space="preserve">                                                         </w:t>
      </w:r>
      <w:r>
        <w:rPr>
          <w:sz w:val="12"/>
          <w:szCs w:val="12"/>
        </w:rPr>
        <w:t xml:space="preserve">                      </w:t>
      </w:r>
      <w:r>
        <w:rPr>
          <w:sz w:val="12"/>
          <w:szCs w:val="12"/>
        </w:rPr>
        <w:t xml:space="preserve">    Министерство строительства Новосибирской области                                  </w:t>
      </w:r>
      <w:r>
        <w:rPr>
          <w:sz w:val="12"/>
          <w:szCs w:val="12"/>
        </w:rPr>
        <w:t xml:space="preserve">                          </w:t>
      </w:r>
      <w:r>
        <w:rPr>
          <w:sz w:val="12"/>
          <w:szCs w:val="12"/>
        </w:rPr>
        <w:t xml:space="preserve"> Заявка № 44/1</w:t>
      </w:r>
      <w:r>
        <w:rPr>
          <w:sz w:val="12"/>
          <w:szCs w:val="12"/>
        </w:rPr>
        <w:t xml:space="preserve">5</w:t>
      </w:r>
      <w:r>
        <w:rPr>
          <w:sz w:val="12"/>
          <w:szCs w:val="12"/>
        </w:rPr>
      </w:r>
    </w:p>
    <w:p>
      <w:pPr>
        <w:jc w:val="center"/>
        <w:rPr>
          <w:sz w:val="12"/>
          <w:szCs w:val="12"/>
        </w:rPr>
      </w:pPr>
      <w:r>
        <w:rPr>
          <w:sz w:val="12"/>
          <w:szCs w:val="12"/>
        </w:rPr>
        <w:t xml:space="preserve">Государственное бюджетное учреждение Новосибирской области</w:t>
      </w:r>
      <w:r>
        <w:rPr>
          <w:sz w:val="12"/>
          <w:szCs w:val="12"/>
        </w:rPr>
      </w:r>
    </w:p>
    <w:p>
      <w:pPr>
        <w:jc w:val="center"/>
        <w:rPr>
          <w:sz w:val="12"/>
          <w:szCs w:val="12"/>
        </w:rPr>
      </w:pPr>
      <w:r>
        <w:rPr>
          <w:sz w:val="12"/>
          <w:szCs w:val="12"/>
        </w:rPr>
        <w:t xml:space="preserve">«Фонд пространственных данных Новосибирской области»</w:t>
      </w:r>
      <w:r>
        <w:rPr>
          <w:sz w:val="12"/>
          <w:szCs w:val="12"/>
        </w:rPr>
      </w:r>
    </w:p>
    <w:p>
      <w:pPr>
        <w:jc w:val="center"/>
        <w:rPr>
          <w:sz w:val="12"/>
          <w:szCs w:val="12"/>
        </w:rPr>
      </w:pPr>
      <w:r>
        <w:rPr>
          <w:sz w:val="12"/>
          <w:szCs w:val="12"/>
        </w:rPr>
        <w:t xml:space="preserve">ГБУ НСО «Геофонд НСО»</w:t>
      </w:r>
      <w:r>
        <w:rPr>
          <w:sz w:val="12"/>
          <w:szCs w:val="12"/>
        </w:rPr>
      </w:r>
    </w:p>
    <w:p>
      <w:pPr>
        <w:jc w:val="center"/>
        <w:rPr>
          <w:sz w:val="12"/>
          <w:szCs w:val="12"/>
        </w:rPr>
      </w:pPr>
      <w:r>
        <w:rPr>
          <w:sz w:val="12"/>
          <w:szCs w:val="12"/>
        </w:rPr>
      </w:r>
      <w:r>
        <w:rPr>
          <w:sz w:val="12"/>
          <w:szCs w:val="12"/>
        </w:rPr>
      </w:r>
    </w:p>
    <w:p>
      <w:pPr>
        <w:jc w:val="center"/>
        <w:rPr>
          <w:sz w:val="12"/>
          <w:szCs w:val="12"/>
        </w:rPr>
      </w:pPr>
      <w:r>
        <w:rPr>
          <w:sz w:val="12"/>
          <w:szCs w:val="12"/>
        </w:rPr>
        <w:t xml:space="preserve">Выписка координат и высот геодезических пунктов</w:t>
      </w:r>
      <w:r>
        <w:rPr>
          <w:sz w:val="12"/>
          <w:szCs w:val="12"/>
        </w:rPr>
      </w:r>
    </w:p>
    <w:p>
      <w:pPr>
        <w:jc w:val="center"/>
        <w:rPr>
          <w:sz w:val="12"/>
          <w:szCs w:val="12"/>
        </w:rPr>
      </w:pPr>
      <w:r>
        <w:rPr>
          <w:sz w:val="12"/>
          <w:szCs w:val="12"/>
        </w:rPr>
      </w:r>
      <w:r>
        <w:rPr>
          <w:sz w:val="12"/>
          <w:szCs w:val="12"/>
        </w:rPr>
      </w:r>
    </w:p>
    <w:p>
      <w:pPr>
        <w:jc w:val="center"/>
        <w:rPr>
          <w:sz w:val="12"/>
          <w:szCs w:val="12"/>
        </w:rPr>
      </w:pPr>
      <w:r>
        <w:rPr>
          <w:sz w:val="12"/>
          <w:szCs w:val="12"/>
        </w:rPr>
      </w:r>
      <w:r>
        <w:rPr>
          <w:sz w:val="12"/>
          <w:szCs w:val="12"/>
        </w:rPr>
      </w:r>
    </w:p>
    <w:tbl>
      <w:tblPr>
        <w:tblW w:w="9269" w:type="dxa"/>
        <w:tblInd w:w="279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78"/>
        <w:gridCol w:w="1707"/>
        <w:gridCol w:w="1052"/>
        <w:gridCol w:w="934"/>
        <w:gridCol w:w="416"/>
        <w:gridCol w:w="1750"/>
        <w:gridCol w:w="1417"/>
        <w:gridCol w:w="1615"/>
      </w:tblGrid>
      <w:tr>
        <w:tblPrEx/>
        <w:trPr>
          <w:cantSplit/>
          <w:trHeight w:val="81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378" w:type="dxa"/>
            <w:vMerge w:val="restart"/>
            <w:textDirection w:val="lrTb"/>
            <w:noWrap w:val="false"/>
          </w:tcPr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 xml:space="preserve">№ п/п</w:t>
            </w:r>
            <w:r>
              <w:rPr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707" w:type="dxa"/>
            <w:vMerge w:val="restart"/>
            <w:textDirection w:val="lrTb"/>
            <w:noWrap w:val="false"/>
          </w:tcPr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 xml:space="preserve">Название или номер пункта</w:t>
            </w:r>
            <w:r>
              <w:rPr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052" w:type="dxa"/>
            <w:vMerge w:val="restart"/>
            <w:textDirection w:val="lrTb"/>
            <w:noWrap w:val="false"/>
          </w:tcPr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 xml:space="preserve">Тип и высота знака</w:t>
            </w:r>
            <w:r>
              <w:rPr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934" w:type="dxa"/>
            <w:vMerge w:val="restart"/>
            <w:textDirection w:val="lrTb"/>
            <w:noWrap w:val="false"/>
          </w:tcPr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 xml:space="preserve">Тип центра,</w:t>
            </w:r>
            <w:r>
              <w:rPr>
                <w:sz w:val="12"/>
                <w:szCs w:val="12"/>
              </w:rPr>
            </w:r>
          </w:p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 xml:space="preserve">номер марки</w:t>
            </w:r>
            <w:r>
              <w:rPr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416" w:type="dxa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 xml:space="preserve">Класс</w:t>
            </w:r>
            <w:r>
              <w:rPr>
                <w:sz w:val="12"/>
                <w:szCs w:val="12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3167" w:type="dxa"/>
            <w:textDirection w:val="lrTb"/>
            <w:noWrap w:val="false"/>
          </w:tcPr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 xml:space="preserve">Система координат МСК НСО </w:t>
            </w:r>
            <w:r>
              <w:rPr>
                <w:sz w:val="12"/>
                <w:szCs w:val="12"/>
              </w:rPr>
            </w:r>
          </w:p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 xml:space="preserve">(зона  4 )</w:t>
            </w:r>
            <w:r>
              <w:rPr>
                <w:sz w:val="12"/>
                <w:szCs w:val="12"/>
              </w:rPr>
            </w:r>
          </w:p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  <w:r>
              <w:rPr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615" w:type="dxa"/>
            <w:textDirection w:val="lrTb"/>
            <w:noWrap w:val="false"/>
          </w:tcPr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 xml:space="preserve">Высота пункта, м</w:t>
            </w:r>
            <w:r>
              <w:rPr>
                <w:sz w:val="12"/>
                <w:szCs w:val="12"/>
              </w:rPr>
            </w:r>
          </w:p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 xml:space="preserve">Балтийская система высот </w:t>
            </w:r>
            <w:r>
              <w:rPr>
                <w:sz w:val="12"/>
                <w:szCs w:val="12"/>
              </w:rPr>
            </w:r>
          </w:p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 xml:space="preserve">1977 года</w:t>
            </w:r>
            <w:r>
              <w:rPr>
                <w:sz w:val="12"/>
                <w:szCs w:val="12"/>
              </w:rPr>
            </w:r>
          </w:p>
        </w:tc>
      </w:tr>
      <w:tr>
        <w:tblPrEx/>
        <w:trPr>
          <w:cantSplit/>
          <w:trHeight w:val="46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" w:type="dxa"/>
            <w:vAlign w:val="center"/>
            <w:vMerge w:val="continue"/>
            <w:textDirection w:val="lrTb"/>
            <w:noWrap w:val="false"/>
          </w:tcPr>
          <w:p>
            <w:pPr>
              <w:rPr>
                <w:sz w:val="12"/>
                <w:szCs w:val="12"/>
                <w:lang w:eastAsia="en-US"/>
              </w:rPr>
            </w:pPr>
            <w:r>
              <w:rPr>
                <w:sz w:val="12"/>
                <w:szCs w:val="12"/>
                <w:lang w:eastAsia="en-US"/>
              </w:rPr>
            </w:r>
            <w:r>
              <w:rPr>
                <w:sz w:val="12"/>
                <w:szCs w:val="12"/>
                <w:lang w:eastAsia="en-U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7" w:type="dxa"/>
            <w:vAlign w:val="center"/>
            <w:vMerge w:val="continue"/>
            <w:textDirection w:val="lrTb"/>
            <w:noWrap w:val="false"/>
          </w:tcPr>
          <w:p>
            <w:pPr>
              <w:rPr>
                <w:sz w:val="12"/>
                <w:szCs w:val="12"/>
                <w:lang w:eastAsia="en-US"/>
              </w:rPr>
            </w:pPr>
            <w:r>
              <w:rPr>
                <w:sz w:val="12"/>
                <w:szCs w:val="12"/>
                <w:lang w:eastAsia="en-US"/>
              </w:rPr>
            </w:r>
            <w:r>
              <w:rPr>
                <w:sz w:val="12"/>
                <w:szCs w:val="12"/>
                <w:lang w:eastAsia="en-U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52" w:type="dxa"/>
            <w:vAlign w:val="center"/>
            <w:vMerge w:val="continue"/>
            <w:textDirection w:val="lrTb"/>
            <w:noWrap w:val="false"/>
          </w:tcPr>
          <w:p>
            <w:pPr>
              <w:rPr>
                <w:sz w:val="12"/>
                <w:szCs w:val="12"/>
                <w:lang w:eastAsia="en-US"/>
              </w:rPr>
            </w:pPr>
            <w:r>
              <w:rPr>
                <w:sz w:val="12"/>
                <w:szCs w:val="12"/>
                <w:lang w:eastAsia="en-US"/>
              </w:rPr>
            </w:r>
            <w:r>
              <w:rPr>
                <w:sz w:val="12"/>
                <w:szCs w:val="12"/>
                <w:lang w:eastAsia="en-U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34" w:type="dxa"/>
            <w:vAlign w:val="center"/>
            <w:vMerge w:val="continue"/>
            <w:textDirection w:val="lrTb"/>
            <w:noWrap w:val="false"/>
          </w:tcPr>
          <w:p>
            <w:pPr>
              <w:rPr>
                <w:sz w:val="12"/>
                <w:szCs w:val="12"/>
                <w:lang w:eastAsia="en-US"/>
              </w:rPr>
            </w:pPr>
            <w:r>
              <w:rPr>
                <w:sz w:val="12"/>
                <w:szCs w:val="12"/>
                <w:lang w:eastAsia="en-US"/>
              </w:rPr>
            </w:r>
            <w:r>
              <w:rPr>
                <w:sz w:val="12"/>
                <w:szCs w:val="12"/>
                <w:lang w:eastAsia="en-U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16" w:type="dxa"/>
            <w:vAlign w:val="center"/>
            <w:vMerge w:val="continue"/>
            <w:textDirection w:val="lrTb"/>
            <w:noWrap w:val="false"/>
          </w:tcPr>
          <w:p>
            <w:pPr>
              <w:rPr>
                <w:sz w:val="12"/>
                <w:szCs w:val="12"/>
                <w:lang w:eastAsia="en-US"/>
              </w:rPr>
            </w:pPr>
            <w:r>
              <w:rPr>
                <w:sz w:val="12"/>
                <w:szCs w:val="12"/>
                <w:lang w:eastAsia="en-US"/>
              </w:rPr>
            </w:r>
            <w:r>
              <w:rPr>
                <w:sz w:val="12"/>
                <w:szCs w:val="12"/>
                <w:lang w:eastAsia="en-U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750" w:type="dxa"/>
            <w:textDirection w:val="lrTb"/>
            <w:noWrap w:val="false"/>
          </w:tcPr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 xml:space="preserve">Х, м</w:t>
            </w:r>
            <w:r>
              <w:rPr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417" w:type="dxa"/>
            <w:textDirection w:val="lrTb"/>
            <w:noWrap w:val="false"/>
          </w:tcPr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 xml:space="preserve">У, м</w:t>
            </w:r>
            <w:r>
              <w:rPr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15" w:type="dxa"/>
            <w:vAlign w:val="center"/>
            <w:textDirection w:val="lrTb"/>
            <w:noWrap w:val="false"/>
          </w:tcPr>
          <w:p>
            <w:pPr>
              <w:rPr>
                <w:sz w:val="12"/>
                <w:szCs w:val="12"/>
                <w:lang w:eastAsia="en-US"/>
              </w:rPr>
            </w:pPr>
            <w:r>
              <w:rPr>
                <w:sz w:val="12"/>
                <w:szCs w:val="12"/>
                <w:lang w:eastAsia="en-US"/>
              </w:rPr>
            </w:r>
            <w:r>
              <w:rPr>
                <w:sz w:val="12"/>
                <w:szCs w:val="12"/>
                <w:lang w:eastAsia="en-US"/>
              </w:rPr>
            </w:r>
          </w:p>
        </w:tc>
      </w:tr>
      <w:tr>
        <w:tblPrEx/>
        <w:trPr>
          <w:trHeight w:val="30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378" w:type="dxa"/>
            <w:textDirection w:val="lrTb"/>
            <w:noWrap w:val="false"/>
          </w:tcPr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  <w:r>
              <w:rPr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707" w:type="dxa"/>
            <w:textDirection w:val="lrTb"/>
            <w:noWrap w:val="false"/>
          </w:tcPr>
          <w:p>
            <w:pPr>
              <w:jc w:val="center"/>
              <w:rPr>
                <w:rFonts w:ascii="Calibri" w:hAnsi="Calibri" w:cs="Tahoma"/>
                <w:sz w:val="12"/>
                <w:szCs w:val="12"/>
              </w:rPr>
            </w:pPr>
            <w:r>
              <w:rPr>
                <w:rFonts w:ascii="Calibri" w:hAnsi="Calibri" w:cs="Tahoma"/>
                <w:sz w:val="12"/>
                <w:szCs w:val="12"/>
              </w:rPr>
            </w:r>
            <w:r>
              <w:rPr>
                <w:rFonts w:ascii="Calibri" w:hAnsi="Calibri" w:cs="Tahoma"/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052" w:type="dxa"/>
            <w:textDirection w:val="lrTb"/>
            <w:noWrap w:val="false"/>
          </w:tcPr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  <w:r>
              <w:rPr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934" w:type="dxa"/>
            <w:textDirection w:val="lrTb"/>
            <w:noWrap w:val="false"/>
          </w:tcPr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  <w:r>
              <w:rPr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416" w:type="dxa"/>
            <w:textDirection w:val="lrTb"/>
            <w:noWrap w:val="false"/>
          </w:tcPr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  <w:r>
              <w:rPr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750" w:type="dxa"/>
            <w:textDirection w:val="lrTb"/>
            <w:noWrap w:val="false"/>
          </w:tcPr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  <w:r>
              <w:rPr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417" w:type="dxa"/>
            <w:textDirection w:val="lrTb"/>
            <w:noWrap w:val="false"/>
          </w:tcPr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  <w:r>
              <w:rPr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615" w:type="dxa"/>
            <w:textDirection w:val="lrTb"/>
            <w:noWrap w:val="false"/>
          </w:tcPr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  <w:r>
              <w:rPr>
                <w:sz w:val="12"/>
                <w:szCs w:val="12"/>
              </w:rPr>
            </w:r>
          </w:p>
        </w:tc>
      </w:tr>
      <w:tr>
        <w:tblPrEx/>
        <w:trPr>
          <w:trHeight w:val="29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378" w:type="dxa"/>
            <w:textDirection w:val="lrTb"/>
            <w:noWrap w:val="false"/>
          </w:tcPr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  <w:r>
              <w:rPr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707" w:type="dxa"/>
            <w:textDirection w:val="lrTb"/>
            <w:noWrap w:val="false"/>
          </w:tcPr>
          <w:p>
            <w:pPr>
              <w:jc w:val="center"/>
              <w:rPr>
                <w:rFonts w:ascii="Calibri" w:hAnsi="Calibri" w:cs="Tahoma"/>
                <w:sz w:val="12"/>
                <w:szCs w:val="12"/>
              </w:rPr>
            </w:pPr>
            <w:r>
              <w:rPr>
                <w:rFonts w:ascii="Calibri" w:hAnsi="Calibri" w:cs="Tahoma"/>
                <w:sz w:val="12"/>
                <w:szCs w:val="12"/>
              </w:rPr>
            </w:r>
            <w:r>
              <w:rPr>
                <w:rFonts w:ascii="Calibri" w:hAnsi="Calibri" w:cs="Tahoma"/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052" w:type="dxa"/>
            <w:textDirection w:val="lrTb"/>
            <w:noWrap w:val="false"/>
          </w:tcPr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  <w:r>
              <w:rPr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934" w:type="dxa"/>
            <w:textDirection w:val="lrTb"/>
            <w:noWrap w:val="false"/>
          </w:tcPr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  <w:r>
              <w:rPr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416" w:type="dxa"/>
            <w:textDirection w:val="lrTb"/>
            <w:noWrap w:val="false"/>
          </w:tcPr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  <w:r>
              <w:rPr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750" w:type="dxa"/>
            <w:textDirection w:val="lrTb"/>
            <w:noWrap w:val="false"/>
          </w:tcPr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  <w:r>
              <w:rPr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417" w:type="dxa"/>
            <w:textDirection w:val="lrTb"/>
            <w:noWrap w:val="false"/>
          </w:tcPr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  <w:r>
              <w:rPr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615" w:type="dxa"/>
            <w:textDirection w:val="lrTb"/>
            <w:noWrap w:val="false"/>
          </w:tcPr>
          <w:p>
            <w:pPr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  <w:r>
              <w:rPr>
                <w:sz w:val="12"/>
                <w:szCs w:val="12"/>
              </w:rPr>
            </w:r>
          </w:p>
        </w:tc>
      </w:tr>
    </w:tbl>
    <w:p>
      <w:pPr>
        <w:jc w:val="center"/>
        <w:rPr>
          <w:sz w:val="12"/>
          <w:szCs w:val="12"/>
          <w:lang w:eastAsia="en-US"/>
        </w:rPr>
      </w:pPr>
      <w:r>
        <w:rPr>
          <w:sz w:val="12"/>
          <w:szCs w:val="12"/>
          <w:lang w:eastAsia="en-US"/>
        </w:rPr>
      </w:r>
      <w:r>
        <w:rPr>
          <w:sz w:val="12"/>
          <w:szCs w:val="12"/>
          <w:lang w:eastAsia="en-US"/>
        </w:rPr>
      </w:r>
    </w:p>
    <w:p>
      <w:pPr>
        <w:rPr>
          <w:sz w:val="12"/>
          <w:szCs w:val="12"/>
        </w:rPr>
      </w:pPr>
      <w:r>
        <w:rPr>
          <w:sz w:val="12"/>
          <w:szCs w:val="12"/>
        </w:rPr>
        <w:t xml:space="preserve"> </w:t>
      </w:r>
      <w:r>
        <w:rPr>
          <w:sz w:val="12"/>
          <w:szCs w:val="12"/>
        </w:rPr>
      </w:r>
    </w:p>
    <w:p>
      <w:pPr>
        <w:rPr>
          <w:rFonts w:ascii="Calibri" w:hAnsi="Calibri" w:cs="Tahoma"/>
          <w:sz w:val="12"/>
          <w:szCs w:val="12"/>
        </w:rPr>
      </w:pPr>
      <w:r>
        <w:rPr>
          <w:rFonts w:ascii="Calibri" w:hAnsi="Calibri" w:cs="Tahoma"/>
          <w:sz w:val="12"/>
          <w:szCs w:val="12"/>
        </w:rPr>
      </w:r>
      <w:r>
        <w:rPr>
          <w:rFonts w:ascii="Calibri" w:hAnsi="Calibri" w:cs="Tahoma"/>
          <w:sz w:val="12"/>
          <w:szCs w:val="12"/>
        </w:rPr>
      </w:r>
    </w:p>
    <w:p>
      <w:pPr>
        <w:rPr>
          <w:sz w:val="12"/>
          <w:szCs w:val="12"/>
        </w:rPr>
      </w:pPr>
      <w:r>
        <w:rPr>
          <w:sz w:val="12"/>
          <w:szCs w:val="12"/>
        </w:rPr>
        <w:t xml:space="preserve">    Выписку составил начальник отдела </w:t>
      </w:r>
      <w:r>
        <w:rPr>
          <w:sz w:val="12"/>
          <w:szCs w:val="12"/>
        </w:rPr>
      </w:r>
    </w:p>
    <w:p>
      <w:pPr>
        <w:rPr>
          <w:sz w:val="6"/>
          <w:szCs w:val="6"/>
        </w:rPr>
      </w:pPr>
      <w:r>
        <w:rPr>
          <w:sz w:val="12"/>
          <w:szCs w:val="12"/>
        </w:rPr>
        <w:t xml:space="preserve">    контроля и приёмки ТГМ                                                                                                                                                                         </w:t>
      </w:r>
      <w:r>
        <w:rPr>
          <w:sz w:val="12"/>
          <w:szCs w:val="12"/>
        </w:rPr>
        <w:t xml:space="preserve">                                                                 </w:t>
      </w:r>
      <w:r>
        <w:rPr>
          <w:sz w:val="12"/>
          <w:szCs w:val="12"/>
        </w:rPr>
        <w:t xml:space="preserve"> </w:t>
      </w:r>
      <w:r>
        <w:rPr>
          <w:sz w:val="6"/>
          <w:szCs w:val="6"/>
        </w:rPr>
      </w:r>
    </w:p>
    <w:p>
      <w:pPr>
        <w:rPr>
          <w:rFonts w:ascii="Calibri" w:hAnsi="Calibri" w:cs="Tahoma"/>
          <w:sz w:val="6"/>
          <w:szCs w:val="6"/>
        </w:rPr>
      </w:pPr>
      <w:r>
        <w:rPr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.</w:t>
      </w:r>
      <w:r>
        <w:rPr>
          <w:rFonts w:ascii="Calibri" w:hAnsi="Calibri" w:cs="Tahoma"/>
          <w:sz w:val="6"/>
          <w:szCs w:val="6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Абрис, журнал обследования ко</w:t>
      </w:r>
      <w:r>
        <w:rPr>
          <w:rFonts w:ascii="Times New Roman" w:hAnsi="Times New Roman" w:cs="Times New Roman"/>
          <w:sz w:val="28"/>
          <w:szCs w:val="28"/>
        </w:rPr>
        <w:t xml:space="preserve">лодцев, полевая копия</w:t>
      </w:r>
      <w:r>
        <w:rPr>
          <w:rFonts w:ascii="Times New Roman" w:hAnsi="Times New Roman" w:cs="Times New Roman"/>
          <w:sz w:val="28"/>
          <w:szCs w:val="28"/>
        </w:rPr>
        <w:t xml:space="preserve">: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jc w:val="right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олевая копия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62250" cy="3884885"/>
                <wp:effectExtent l="0" t="0" r="0" b="1905"/>
                <wp:docPr id="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>
                          <a:extLst>
                            <a:ext uri="{96DAC541-7B7A-43D3-8B79-37D633B846F1}">
                              <asvg:svgBlip xmlns:asvg="http://schemas.microsoft.com/office/drawing/2016/SVG/main" r:embed="rId15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2772221" cy="38989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217.50pt;height:305.90pt;mso-wrap-distance-left:0.00pt;mso-wrap-distance-top:0.00pt;mso-wrap-distance-right:0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Необходимость в полевой копии – схематично отображаются изменения отсутствующих элементов, таких как растительность, улично-дорожная сеть, здания, коммуникации и т.д.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jc w:val="right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Ж</w:t>
      </w:r>
      <w:r>
        <w:rPr>
          <w:rFonts w:ascii="Times New Roman" w:hAnsi="Times New Roman" w:cs="Times New Roman"/>
          <w:sz w:val="28"/>
          <w:szCs w:val="28"/>
        </w:rPr>
        <w:t xml:space="preserve">урнал обследования колодцев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774950" cy="3923271"/>
                <wp:effectExtent l="0" t="2540" r="3810" b="3810"/>
                <wp:docPr id="5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 rot="5400000">
                          <a:off x="0" y="0"/>
                          <a:ext cx="2807729" cy="39696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218.50pt;height:308.92pt;mso-wrap-distance-left:0.00pt;mso-wrap-distance-top:0.00pt;mso-wrap-distance-right:0.00pt;mso-wrap-distance-bottom:0.00pt;rotation:90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Согласовани</w:t>
      </w:r>
      <w:r>
        <w:rPr>
          <w:rFonts w:ascii="Times New Roman" w:hAnsi="Times New Roman" w:cs="Times New Roman"/>
          <w:sz w:val="28"/>
          <w:szCs w:val="28"/>
        </w:rPr>
        <w:t xml:space="preserve">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инженерных </w:t>
      </w:r>
      <w:r>
        <w:rPr>
          <w:rFonts w:ascii="Times New Roman" w:hAnsi="Times New Roman" w:cs="Times New Roman"/>
          <w:sz w:val="28"/>
          <w:szCs w:val="28"/>
        </w:rPr>
        <w:t xml:space="preserve">коммуникаций с эксплуатирующими организациями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 топографическому плану:</w:t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Геодезические пункты:</w:t>
      </w:r>
      <w:r>
        <w:rPr>
          <w:rFonts w:ascii="Times New Roman" w:hAnsi="Times New Roman" w:cs="Times New Roman"/>
          <w:sz w:val="28"/>
          <w:szCs w:val="28"/>
          <w:u w:val="single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Отсутствие математической основы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</w:t>
      </w:r>
      <w:r>
        <w:rPr>
          <w:rFonts w:ascii="Times New Roman" w:hAnsi="Times New Roman" w:cs="Times New Roman"/>
          <w:sz w:val="28"/>
          <w:szCs w:val="28"/>
        </w:rPr>
        <w:t xml:space="preserve">координатн</w:t>
      </w:r>
      <w:r>
        <w:rPr>
          <w:rFonts w:ascii="Times New Roman" w:hAnsi="Times New Roman" w:cs="Times New Roman"/>
          <w:sz w:val="28"/>
          <w:szCs w:val="28"/>
        </w:rPr>
        <w:t xml:space="preserve">ая</w:t>
      </w:r>
      <w:r>
        <w:rPr>
          <w:rFonts w:ascii="Times New Roman" w:hAnsi="Times New Roman" w:cs="Times New Roman"/>
          <w:sz w:val="28"/>
          <w:szCs w:val="28"/>
        </w:rPr>
        <w:t xml:space="preserve"> сетк</w:t>
      </w:r>
      <w:r>
        <w:rPr>
          <w:rFonts w:ascii="Times New Roman" w:hAnsi="Times New Roman" w:cs="Times New Roman"/>
          <w:sz w:val="28"/>
          <w:szCs w:val="28"/>
        </w:rPr>
        <w:t xml:space="preserve">а)</w:t>
      </w:r>
      <w:r>
        <w:rPr>
          <w:rFonts w:ascii="Times New Roman" w:hAnsi="Times New Roman" w:cs="Times New Roman"/>
          <w:sz w:val="28"/>
          <w:szCs w:val="28"/>
        </w:rPr>
        <w:t xml:space="preserve"> на топографическ</w:t>
      </w:r>
      <w:r>
        <w:rPr>
          <w:rFonts w:ascii="Times New Roman" w:hAnsi="Times New Roman" w:cs="Times New Roman"/>
          <w:sz w:val="28"/>
          <w:szCs w:val="28"/>
        </w:rPr>
        <w:t xml:space="preserve">ом</w:t>
      </w:r>
      <w:r>
        <w:rPr>
          <w:rFonts w:ascii="Times New Roman" w:hAnsi="Times New Roman" w:cs="Times New Roman"/>
          <w:sz w:val="28"/>
          <w:szCs w:val="28"/>
        </w:rPr>
        <w:t xml:space="preserve"> план</w:t>
      </w:r>
      <w:r>
        <w:rPr>
          <w:rFonts w:ascii="Times New Roman" w:hAnsi="Times New Roman" w:cs="Times New Roman"/>
          <w:sz w:val="28"/>
          <w:szCs w:val="28"/>
        </w:rPr>
        <w:t xml:space="preserve">е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8638" cy="959421"/>
                <wp:effectExtent l="0" t="0" r="5715" b="0"/>
                <wp:docPr id="6" name="Рисунок 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>
                          <a:extLst>
                            <a:ext uri="{96DAC541-7B7A-43D3-8B79-37D633B846F1}">
                              <asvg:svgBlip xmlns:asvg="http://schemas.microsoft.com/office/drawing/2016/SVG/main" r:embed="rId18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168311" cy="9656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82.57pt;height:75.54pt;mso-wrap-distance-left:0.00pt;mso-wrap-distance-top:0.00pt;mso-wrap-distance-right:0.00pt;mso-wrap-distance-bottom:0.00pt;" stroked="f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Строения, здания и их части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:</w:t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</w:t>
      </w:r>
      <w:r>
        <w:rPr>
          <w:rFonts w:ascii="Times New Roman" w:hAnsi="Times New Roman" w:cs="Times New Roman"/>
          <w:sz w:val="28"/>
          <w:szCs w:val="28"/>
        </w:rPr>
        <w:t xml:space="preserve">верное отображение </w:t>
      </w:r>
      <w:r>
        <w:rPr>
          <w:rFonts w:ascii="Times New Roman" w:hAnsi="Times New Roman" w:cs="Times New Roman"/>
          <w:sz w:val="28"/>
          <w:szCs w:val="28"/>
        </w:rPr>
        <w:t xml:space="preserve">условных знаков: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ар</w:t>
      </w:r>
      <w:r>
        <w:rPr>
          <w:rFonts w:ascii="Times New Roman" w:hAnsi="Times New Roman" w:cs="Times New Roman"/>
          <w:sz w:val="28"/>
          <w:szCs w:val="28"/>
        </w:rPr>
        <w:t xml:space="preserve">ок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переход</w:t>
      </w:r>
      <w:r>
        <w:rPr>
          <w:rFonts w:ascii="Times New Roman" w:hAnsi="Times New Roman" w:cs="Times New Roman"/>
          <w:sz w:val="28"/>
          <w:szCs w:val="28"/>
        </w:rPr>
        <w:t xml:space="preserve">ов</w:t>
      </w:r>
      <w:r>
        <w:rPr>
          <w:rFonts w:ascii="Times New Roman" w:hAnsi="Times New Roman" w:cs="Times New Roman"/>
          <w:sz w:val="28"/>
          <w:szCs w:val="28"/>
        </w:rPr>
        <w:t xml:space="preserve">, навес</w:t>
      </w:r>
      <w:r>
        <w:rPr>
          <w:rFonts w:ascii="Times New Roman" w:hAnsi="Times New Roman" w:cs="Times New Roman"/>
          <w:sz w:val="28"/>
          <w:szCs w:val="28"/>
        </w:rPr>
        <w:t xml:space="preserve">ов</w:t>
      </w:r>
      <w:r>
        <w:rPr>
          <w:rFonts w:ascii="Times New Roman" w:hAnsi="Times New Roman" w:cs="Times New Roman"/>
          <w:sz w:val="28"/>
          <w:szCs w:val="28"/>
        </w:rPr>
        <w:t xml:space="preserve">, перекрыти</w:t>
      </w:r>
      <w:r>
        <w:rPr>
          <w:rFonts w:ascii="Times New Roman" w:hAnsi="Times New Roman" w:cs="Times New Roman"/>
          <w:sz w:val="28"/>
          <w:szCs w:val="28"/>
        </w:rPr>
        <w:t xml:space="preserve">й</w:t>
      </w:r>
      <w:r>
        <w:rPr>
          <w:rFonts w:ascii="Times New Roman" w:hAnsi="Times New Roman" w:cs="Times New Roman"/>
          <w:sz w:val="28"/>
          <w:szCs w:val="28"/>
        </w:rPr>
        <w:t xml:space="preserve"> между зданиями, </w:t>
      </w:r>
      <w:r>
        <w:rPr>
          <w:rFonts w:ascii="Times New Roman" w:hAnsi="Times New Roman" w:cs="Times New Roman"/>
          <w:sz w:val="28"/>
          <w:szCs w:val="28"/>
        </w:rPr>
        <w:t xml:space="preserve">террас</w:t>
      </w:r>
      <w:r>
        <w:rPr>
          <w:rFonts w:ascii="Times New Roman" w:hAnsi="Times New Roman" w:cs="Times New Roman"/>
          <w:sz w:val="28"/>
          <w:szCs w:val="28"/>
        </w:rPr>
        <w:t xml:space="preserve">с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 xml:space="preserve">они между собой</w:t>
      </w:r>
      <w:r>
        <w:rPr>
          <w:rFonts w:ascii="Times New Roman" w:hAnsi="Times New Roman" w:cs="Times New Roman"/>
          <w:sz w:val="28"/>
          <w:szCs w:val="28"/>
        </w:rPr>
        <w:t xml:space="preserve"> похожи, но показываются по-разному)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Пример</w:t>
      </w:r>
      <w:r>
        <w:rPr>
          <w:rFonts w:ascii="Times New Roman" w:hAnsi="Times New Roman" w:cs="Times New Roman"/>
          <w:sz w:val="28"/>
          <w:szCs w:val="28"/>
        </w:rPr>
        <w:t xml:space="preserve">: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8400" cy="992053"/>
                <wp:effectExtent l="0" t="0" r="0" b="0"/>
                <wp:docPr id="7" name="Рисунок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>
                          <a:extLst>
                            <a:ext uri="{96DAC541-7B7A-43D3-8B79-37D633B846F1}">
                              <asvg:svgBlip xmlns:asvg="http://schemas.microsoft.com/office/drawing/2016/SVG/main" r:embed="rId20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381379" cy="10131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92.00pt;height:78.11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770666"/>
                <wp:effectExtent l="0" t="0" r="0" b="0"/>
                <wp:docPr id="8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>
                          <a:extLst>
                            <a:ext uri="{96DAC541-7B7A-43D3-8B79-37D633B846F1}">
                              <asvg:svgBlip xmlns:asvg="http://schemas.microsoft.com/office/drawing/2016/SVG/main" r:embed="rId22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480174" cy="7706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510.25pt;height:60.68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951701"/>
                <wp:effectExtent l="0" t="0" r="0" b="1270"/>
                <wp:docPr id="9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>
                          <a:extLst>
                            <a:ext uri="{96DAC541-7B7A-43D3-8B79-37D633B846F1}">
                              <asvg:svgBlip xmlns:asvg="http://schemas.microsoft.com/office/drawing/2016/SVG/main" r:embed="rId24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480174" cy="9517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510.25pt;height:74.94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875569"/>
                <wp:effectExtent l="0" t="0" r="0" b="1270"/>
                <wp:docPr id="10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>
                          <a:extLst>
                            <a:ext uri="{96DAC541-7B7A-43D3-8B79-37D633B846F1}">
                              <asvg:svgBlip xmlns:asvg="http://schemas.microsoft.com/office/drawing/2016/SVG/main" r:embed="rId26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480174" cy="8755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510.25pt;height:68.94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</w:t>
      </w:r>
      <w:r>
        <w:rPr>
          <w:rFonts w:ascii="Times New Roman" w:hAnsi="Times New Roman" w:cs="Times New Roman"/>
          <w:sz w:val="28"/>
          <w:szCs w:val="28"/>
        </w:rPr>
        <w:t xml:space="preserve">верное отображение </w:t>
      </w:r>
      <w:r>
        <w:rPr>
          <w:rFonts w:ascii="Times New Roman" w:hAnsi="Times New Roman" w:cs="Times New Roman"/>
          <w:sz w:val="28"/>
          <w:szCs w:val="28"/>
        </w:rPr>
        <w:t xml:space="preserve">условных знаков:</w:t>
      </w:r>
      <w:r>
        <w:rPr>
          <w:rFonts w:ascii="Times New Roman" w:hAnsi="Times New Roman" w:cs="Times New Roman"/>
          <w:sz w:val="28"/>
          <w:szCs w:val="28"/>
        </w:rPr>
        <w:t xml:space="preserve"> крыльца каменные закрытые, деревянные закрытые, входы закрытые в подземные части зданий 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Пример</w:t>
      </w:r>
      <w:r>
        <w:rPr>
          <w:rFonts w:ascii="Times New Roman" w:hAnsi="Times New Roman" w:cs="Times New Roman"/>
          <w:sz w:val="28"/>
          <w:szCs w:val="28"/>
        </w:rPr>
        <w:t xml:space="preserve">: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755622"/>
                <wp:effectExtent l="0" t="0" r="0" b="6985"/>
                <wp:docPr id="11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>
                          <a:extLst>
                            <a:ext uri="{96DAC541-7B7A-43D3-8B79-37D633B846F1}">
                              <asvg:svgBlip xmlns:asvg="http://schemas.microsoft.com/office/drawing/2016/SVG/main" r:embed="rId28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480174" cy="7556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510.25pt;height:59.50pt;mso-wrap-distance-left:0.00pt;mso-wrap-distance-top:0.00pt;mso-wrap-distance-right:0.00pt;mso-wrap-distance-bottom:0.00pt;" stroked="f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714690"/>
                <wp:effectExtent l="0" t="0" r="0" b="9525"/>
                <wp:docPr id="12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>
                          <a:extLst>
                            <a:ext uri="{96DAC541-7B7A-43D3-8B79-37D633B846F1}">
                              <asvg:svgBlip xmlns:asvg="http://schemas.microsoft.com/office/drawing/2016/SVG/main" r:embed="rId30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480174" cy="714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510.25pt;height:56.27pt;mso-wrap-distance-left:0.00pt;mso-wrap-distance-top:0.00pt;mso-wrap-distance-right:0.00pt;mso-wrap-distance-bottom:0.00pt;" stroked="f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589539"/>
                <wp:effectExtent l="0" t="0" r="0" b="1270"/>
                <wp:docPr id="13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>
                          <a:extLst>
                            <a:ext uri="{96DAC541-7B7A-43D3-8B79-37D633B846F1}">
                              <asvg:svgBlip xmlns:asvg="http://schemas.microsoft.com/office/drawing/2016/SVG/main" r:embed="rId32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480174" cy="58953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510.25pt;height:46.42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</w:t>
      </w:r>
      <w:r>
        <w:rPr>
          <w:rFonts w:ascii="Times New Roman" w:hAnsi="Times New Roman" w:cs="Times New Roman"/>
          <w:sz w:val="28"/>
          <w:szCs w:val="28"/>
        </w:rPr>
        <w:t xml:space="preserve">верное отображение </w:t>
      </w:r>
      <w:r>
        <w:rPr>
          <w:rFonts w:ascii="Times New Roman" w:hAnsi="Times New Roman" w:cs="Times New Roman"/>
          <w:sz w:val="28"/>
          <w:szCs w:val="28"/>
        </w:rPr>
        <w:t xml:space="preserve">условных знаков</w:t>
      </w:r>
      <w:r>
        <w:rPr>
          <w:rFonts w:ascii="Times New Roman" w:hAnsi="Times New Roman" w:cs="Times New Roman"/>
          <w:sz w:val="28"/>
          <w:szCs w:val="28"/>
        </w:rPr>
        <w:t xml:space="preserve"> крыльцо и приямник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Пример</w:t>
      </w:r>
      <w:r>
        <w:rPr>
          <w:rFonts w:ascii="Times New Roman" w:hAnsi="Times New Roman" w:cs="Times New Roman"/>
          <w:sz w:val="28"/>
          <w:szCs w:val="28"/>
        </w:rPr>
        <w:t xml:space="preserve">: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896960"/>
                <wp:effectExtent l="0" t="0" r="0" b="0"/>
                <wp:docPr id="14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>
                          <a:extLst>
                            <a:ext uri="{96DAC541-7B7A-43D3-8B79-37D633B846F1}">
                              <asvg:svgBlip xmlns:asvg="http://schemas.microsoft.com/office/drawing/2016/SVG/main" r:embed="rId34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480174" cy="896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510.25pt;height:70.63pt;mso-wrap-distance-left:0.00pt;mso-wrap-distance-top:0.00pt;mso-wrap-distance-right:0.00pt;mso-wrap-distance-bottom:0.00pt;" stroked="f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51692" cy="908050"/>
                <wp:effectExtent l="0" t="0" r="1905" b="6350"/>
                <wp:docPr id="15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>
                          <a:extLst>
                            <a:ext uri="{96DAC541-7B7A-43D3-8B79-37D633B846F1}">
                              <asvg:svgBlip xmlns:asvg="http://schemas.microsoft.com/office/drawing/2016/SVG/main" r:embed="rId36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5431778" cy="9216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21.39pt;height:71.50pt;mso-wrap-distance-left:0.00pt;mso-wrap-distance-top:0.00pt;mso-wrap-distance-right:0.00pt;mso-wrap-distance-bottom:0.00pt;" stroked="f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687363"/>
                <wp:effectExtent l="0" t="0" r="0" b="0"/>
                <wp:docPr id="16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>
                          <a:extLst>
                            <a:ext uri="{96DAC541-7B7A-43D3-8B79-37D633B846F1}">
                              <asvg:svgBlip xmlns:asvg="http://schemas.microsoft.com/office/drawing/2016/SVG/main" r:embed="rId38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480174" cy="6873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510.25pt;height:54.12pt;mso-wrap-distance-left:0.00pt;mso-wrap-distance-top:0.00pt;mso-wrap-distance-right:0.00pt;mso-wrap-distance-bottom:0.00pt;" stroked="f">
                <v:path textboxrect="0,0,0,0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Частые замечания в пояснительных подписях </w:t>
      </w:r>
      <w:r>
        <w:rPr>
          <w:rFonts w:ascii="Times New Roman" w:hAnsi="Times New Roman" w:cs="Times New Roman"/>
          <w:sz w:val="28"/>
          <w:szCs w:val="28"/>
        </w:rPr>
        <w:t xml:space="preserve">неверно указана </w:t>
      </w:r>
      <w:r>
        <w:rPr>
          <w:rFonts w:ascii="Times New Roman" w:hAnsi="Times New Roman" w:cs="Times New Roman"/>
          <w:sz w:val="28"/>
          <w:szCs w:val="28"/>
        </w:rPr>
        <w:t xml:space="preserve">этажност</w:t>
      </w:r>
      <w:r>
        <w:rPr>
          <w:rFonts w:ascii="Times New Roman" w:hAnsi="Times New Roman" w:cs="Times New Roman"/>
          <w:sz w:val="28"/>
          <w:szCs w:val="28"/>
        </w:rPr>
        <w:t xml:space="preserve">ь, материал строения, назначение и адрес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Объекты промышленные</w:t>
      </w: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, коммунальные и </w:t>
      </w: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сельскохозяйственного производства</w:t>
      </w: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:</w:t>
      </w:r>
      <w:r>
        <w:rPr>
          <w:rFonts w:ascii="Times New Roman" w:hAnsi="Times New Roman" w:cs="Times New Roman"/>
          <w:b/>
          <w:bCs/>
          <w:sz w:val="28"/>
          <w:szCs w:val="28"/>
          <w:u w:val="single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Путают </w:t>
      </w:r>
      <w:r>
        <w:rPr>
          <w:rFonts w:ascii="Times New Roman" w:hAnsi="Times New Roman" w:cs="Times New Roman"/>
          <w:sz w:val="28"/>
          <w:szCs w:val="28"/>
        </w:rPr>
        <w:t xml:space="preserve">условные знаки</w:t>
      </w:r>
      <w:r>
        <w:rPr>
          <w:rFonts w:ascii="Times New Roman" w:hAnsi="Times New Roman" w:cs="Times New Roman"/>
          <w:sz w:val="28"/>
          <w:szCs w:val="28"/>
        </w:rPr>
        <w:t xml:space="preserve"> откос укрепленный </w:t>
      </w:r>
      <w:r>
        <w:rPr>
          <w:rFonts w:ascii="Times New Roman" w:hAnsi="Times New Roman" w:cs="Times New Roman"/>
          <w:sz w:val="28"/>
          <w:szCs w:val="28"/>
        </w:rPr>
        <w:t xml:space="preserve">и</w:t>
      </w:r>
      <w:r>
        <w:rPr>
          <w:rFonts w:ascii="Times New Roman" w:hAnsi="Times New Roman" w:cs="Times New Roman"/>
          <w:sz w:val="28"/>
          <w:szCs w:val="28"/>
        </w:rPr>
        <w:t xml:space="preserve"> не</w:t>
      </w:r>
      <w:r>
        <w:rPr>
          <w:rFonts w:ascii="Times New Roman" w:hAnsi="Times New Roman" w:cs="Times New Roman"/>
          <w:sz w:val="28"/>
          <w:szCs w:val="28"/>
        </w:rPr>
        <w:t xml:space="preserve">укрепленный</w:t>
      </w:r>
      <w:r>
        <w:rPr>
          <w:rFonts w:ascii="Times New Roman" w:hAnsi="Times New Roman" w:cs="Times New Roman"/>
          <w:sz w:val="28"/>
          <w:szCs w:val="28"/>
        </w:rPr>
        <w:t xml:space="preserve">, а </w:t>
      </w:r>
      <w:r>
        <w:rPr>
          <w:rFonts w:ascii="Times New Roman" w:hAnsi="Times New Roman" w:cs="Times New Roman"/>
          <w:sz w:val="28"/>
          <w:szCs w:val="28"/>
        </w:rPr>
        <w:t xml:space="preserve">также</w:t>
      </w:r>
      <w:r>
        <w:rPr>
          <w:rFonts w:ascii="Times New Roman" w:hAnsi="Times New Roman" w:cs="Times New Roman"/>
          <w:sz w:val="28"/>
          <w:szCs w:val="28"/>
        </w:rPr>
        <w:t xml:space="preserve"> изображают укрепленный откос без способа укрепления</w:t>
      </w:r>
      <w:r>
        <w:rPr>
          <w:rFonts w:ascii="Times New Roman" w:hAnsi="Times New Roman" w:cs="Times New Roman"/>
          <w:sz w:val="28"/>
          <w:szCs w:val="28"/>
        </w:rPr>
        <w:t xml:space="preserve"> (материал)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jc w:val="right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jc w:val="right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Пример</w:t>
      </w:r>
      <w:r>
        <w:rPr>
          <w:rFonts w:ascii="Times New Roman" w:hAnsi="Times New Roman" w:cs="Times New Roman"/>
          <w:sz w:val="28"/>
          <w:szCs w:val="28"/>
        </w:rPr>
        <w:t xml:space="preserve">: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577472" cy="1873250"/>
                <wp:effectExtent l="0" t="0" r="0" b="0"/>
                <wp:docPr id="17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>
                          <a:extLst>
                            <a:ext uri="{96DAC541-7B7A-43D3-8B79-37D633B846F1}">
                              <asvg:svgBlip xmlns:asvg="http://schemas.microsoft.com/office/drawing/2016/SVG/main" r:embed="rId40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4623868" cy="18922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360.43pt;height:147.50pt;mso-wrap-distance-left:0.00pt;mso-wrap-distance-top:0.00pt;mso-wrap-distance-right:0.00pt;mso-wrap-distance-bottom:0.00pt;" stroked="f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Скважина геологическая </w:t>
      </w:r>
      <w:r>
        <w:rPr>
          <w:rFonts w:ascii="Times New Roman" w:hAnsi="Times New Roman" w:cs="Times New Roman"/>
          <w:sz w:val="28"/>
          <w:szCs w:val="28"/>
        </w:rPr>
        <w:t xml:space="preserve">и</w:t>
      </w:r>
      <w:r>
        <w:rPr>
          <w:rFonts w:ascii="Times New Roman" w:hAnsi="Times New Roman" w:cs="Times New Roman"/>
          <w:sz w:val="28"/>
          <w:szCs w:val="28"/>
        </w:rPr>
        <w:t xml:space="preserve"> скважина водоразборная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Пример</w:t>
      </w:r>
      <w:r>
        <w:rPr>
          <w:rFonts w:ascii="Times New Roman" w:hAnsi="Times New Roman" w:cs="Times New Roman"/>
          <w:sz w:val="28"/>
          <w:szCs w:val="28"/>
        </w:rPr>
        <w:t xml:space="preserve">: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72004" cy="1397000"/>
                <wp:effectExtent l="0" t="0" r="0" b="0"/>
                <wp:docPr id="18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>
                          <a:extLst>
                            <a:ext uri="{96DAC541-7B7A-43D3-8B79-37D633B846F1}">
                              <asvg:svgBlip xmlns:asvg="http://schemas.microsoft.com/office/drawing/2016/SVG/main" r:embed="rId42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5241236" cy="14436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399.37pt;height:110.00pt;mso-wrap-distance-left:0.00pt;mso-wrap-distance-top:0.00pt;mso-wrap-distance-right:0.00pt;mso-wrap-distance-bottom:0.00pt;" stroked="f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79518" cy="4984750"/>
                <wp:effectExtent l="0" t="0" r="6985" b="6350"/>
                <wp:docPr id="19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>
                          <a:extLst>
                            <a:ext uri="{96DAC541-7B7A-43D3-8B79-37D633B846F1}">
                              <asvg:svgBlip xmlns:asvg="http://schemas.microsoft.com/office/drawing/2016/SVG/main" r:embed="rId44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4697450" cy="50038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368.47pt;height:392.50pt;mso-wrap-distance-left:0.00pt;mso-wrap-distance-top:0.00pt;mso-wrap-distance-right:0.00pt;mso-wrap-distance-bottom:0.00pt;" stroked="f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Эстакады технологические / погрузочные 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Пример</w:t>
      </w:r>
      <w:r>
        <w:rPr>
          <w:rFonts w:ascii="Times New Roman" w:hAnsi="Times New Roman" w:cs="Times New Roman"/>
          <w:sz w:val="28"/>
          <w:szCs w:val="28"/>
        </w:rPr>
        <w:t xml:space="preserve">: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1374726"/>
                <wp:effectExtent l="0" t="0" r="0" b="0"/>
                <wp:docPr id="20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>
                          <a:extLst>
                            <a:ext uri="{96DAC541-7B7A-43D3-8B79-37D633B846F1}">
                              <asvg:svgBlip xmlns:asvg="http://schemas.microsoft.com/office/drawing/2016/SVG/main" r:embed="rId46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480174" cy="137472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510.25pt;height:108.25pt;mso-wrap-distance-left:0.00pt;mso-wrap-distance-top:0.00pt;mso-wrap-distance-right:0.00pt;mso-wrap-distance-bottom:0.00pt;" stroked="f">
                <v:path textboxrect="0,0,0,0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Должна быть пояснительная подпись </w:t>
      </w:r>
      <w:r>
        <w:rPr>
          <w:rFonts w:ascii="Times New Roman" w:hAnsi="Times New Roman" w:cs="Times New Roman"/>
          <w:sz w:val="28"/>
          <w:szCs w:val="28"/>
        </w:rPr>
        <w:t xml:space="preserve">какая эстакада и её габариты (высота в характерных точках, над проездом, углах поворота, смена высоты и т.д.) 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Опоры(столбы) деревянные, бетонные, металлические (разный УЗ)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Пример</w:t>
      </w:r>
      <w:r>
        <w:rPr>
          <w:rFonts w:ascii="Times New Roman" w:hAnsi="Times New Roman" w:cs="Times New Roman"/>
          <w:sz w:val="28"/>
          <w:szCs w:val="28"/>
        </w:rPr>
        <w:t xml:space="preserve">: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61050" cy="4058957"/>
                <wp:effectExtent l="0" t="0" r="6350" b="0"/>
                <wp:docPr id="21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>
                          <a:extLst>
                            <a:ext uri="{96DAC541-7B7A-43D3-8B79-37D633B846F1}">
                              <asvg:svgBlip xmlns:asvg="http://schemas.microsoft.com/office/drawing/2016/SVG/main" r:embed="rId48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5878983" cy="40713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61.50pt;height:319.60pt;mso-wrap-distance-left:0.00pt;mso-wrap-distance-top:0.00pt;mso-wrap-distance-right:0.00pt;mso-wrap-distance-bottom:0.00pt;" stroked="f">
                <v:path textboxrect="0,0,0,0"/>
                <v:imagedata r:id="rId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Путают молниеотвод и мачта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(антенна)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Пример</w:t>
      </w:r>
      <w:r>
        <w:rPr>
          <w:rFonts w:ascii="Times New Roman" w:hAnsi="Times New Roman" w:cs="Times New Roman"/>
          <w:sz w:val="28"/>
          <w:szCs w:val="28"/>
        </w:rPr>
        <w:t xml:space="preserve">: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79729" cy="971550"/>
                <wp:effectExtent l="0" t="0" r="0" b="0"/>
                <wp:docPr id="22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>
                          <a:extLst>
                            <a:ext uri="{96DAC541-7B7A-43D3-8B79-37D633B846F1}">
                              <asvg:svgBlip xmlns:asvg="http://schemas.microsoft.com/office/drawing/2016/SVG/main" r:embed="rId50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482254" cy="9719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510.21pt;height:76.50pt;mso-wrap-distance-left:0.00pt;mso-wrap-distance-top:0.00pt;mso-wrap-distance-right:0.00pt;mso-wrap-distance-bottom:0.00pt;" stroked="f">
                <v:path textboxrect="0,0,0,0"/>
                <v:imagedata r:id="rId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146550" cy="1105401"/>
                <wp:effectExtent l="0" t="0" r="6350" b="0"/>
                <wp:docPr id="23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>
                          <a:extLst>
                            <a:ext uri="{96DAC541-7B7A-43D3-8B79-37D633B846F1}">
                              <asvg:svgBlip xmlns:asvg="http://schemas.microsoft.com/office/drawing/2016/SVG/main" r:embed="rId52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4201128" cy="1119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326.50pt;height:87.04pt;mso-wrap-distance-left:0.00pt;mso-wrap-distance-top:0.00pt;mso-wrap-distance-right:0.00pt;mso-wrap-distance-bottom:0.00pt;" stroked="f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ЛЭП на застроенной и не</w:t>
      </w:r>
      <w:r>
        <w:rPr>
          <w:rFonts w:ascii="Times New Roman" w:hAnsi="Times New Roman" w:cs="Times New Roman"/>
          <w:sz w:val="28"/>
          <w:szCs w:val="28"/>
        </w:rPr>
        <w:t xml:space="preserve">застроенной территории</w:t>
      </w:r>
      <w:r>
        <w:rPr>
          <w:rFonts w:ascii="Times New Roman" w:hAnsi="Times New Roman" w:cs="Times New Roman"/>
          <w:sz w:val="28"/>
          <w:szCs w:val="28"/>
        </w:rPr>
        <w:t xml:space="preserve"> (разное отображение)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Пример</w:t>
      </w:r>
      <w:r>
        <w:rPr>
          <w:rFonts w:ascii="Times New Roman" w:hAnsi="Times New Roman" w:cs="Times New Roman"/>
          <w:sz w:val="28"/>
          <w:szCs w:val="28"/>
        </w:rPr>
        <w:t xml:space="preserve">: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43475" cy="2317612"/>
                <wp:effectExtent l="0" t="0" r="0" b="6985"/>
                <wp:docPr id="24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>
                          <a:extLst>
                            <a:ext uri="{96DAC541-7B7A-43D3-8B79-37D633B846F1}">
                              <asvg:svgBlip xmlns:asvg="http://schemas.microsoft.com/office/drawing/2016/SVG/main" r:embed="rId54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4998966" cy="23436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389.25pt;height:182.49pt;mso-wrap-distance-left:0.00pt;mso-wrap-distance-top:0.00pt;mso-wrap-distance-right:0.00pt;mso-wrap-distance-bottom:0.00pt;" stroked="f">
                <v:path textboxrect="0,0,0,0"/>
                <v:imagedata r:id="rId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857625" cy="3536810"/>
                <wp:effectExtent l="0" t="0" r="0" b="6985"/>
                <wp:docPr id="25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>
                          <a:extLst>
                            <a:ext uri="{96DAC541-7B7A-43D3-8B79-37D633B846F1}">
                              <asvg:svgBlip xmlns:asvg="http://schemas.microsoft.com/office/drawing/2016/SVG/main" r:embed="rId56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3911097" cy="35858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303.75pt;height:278.49pt;mso-wrap-distance-left:0.00pt;mso-wrap-distance-top:0.00pt;mso-wrap-distance-right:0.00pt;mso-wrap-distance-bottom:0.00pt;" stroked="f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Колодцы смотровые: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путают без назначения и газопроводный, канализация и воздухопровод 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ример</w:t>
      </w:r>
      <w:r>
        <w:rPr>
          <w:rFonts w:ascii="Times New Roman" w:hAnsi="Times New Roman" w:cs="Times New Roman"/>
          <w:sz w:val="28"/>
          <w:szCs w:val="28"/>
        </w:rPr>
        <w:t xml:space="preserve">: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707398"/>
                <wp:effectExtent l="0" t="0" r="0" b="0"/>
                <wp:docPr id="26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>
                          <a:extLst>
                            <a:ext uri="{96DAC541-7B7A-43D3-8B79-37D633B846F1}">
                              <asvg:svgBlip xmlns:asvg="http://schemas.microsoft.com/office/drawing/2016/SVG/main" r:embed="rId58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480174" cy="7073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510.25pt;height:55.70pt;mso-wrap-distance-left:0.00pt;mso-wrap-distance-top:0.00pt;mso-wrap-distance-right:0.00pt;mso-wrap-distance-bottom:0.00pt;" stroked="f">
                <v:path textboxrect="0,0,0,0"/>
                <v:imagedata r:id="rId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742915"/>
                <wp:effectExtent l="0" t="0" r="0" b="635"/>
                <wp:docPr id="27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>
                          <a:extLst>
                            <a:ext uri="{96DAC541-7B7A-43D3-8B79-37D633B846F1}">
                              <asvg:svgBlip xmlns:asvg="http://schemas.microsoft.com/office/drawing/2016/SVG/main" r:embed="rId60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480174" cy="742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510.25pt;height:58.50pt;mso-wrap-distance-left:0.00pt;mso-wrap-distance-top:0.00pt;mso-wrap-distance-right:0.00pt;mso-wrap-distance-bottom:0.00pt;" stroked="f">
                <v:path textboxrect="0,0,0,0"/>
                <v:imagedata r:id="rId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68950" cy="856420"/>
                <wp:effectExtent l="0" t="0" r="0" b="1270"/>
                <wp:docPr id="28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>
                          <a:extLst>
                            <a:ext uri="{96DAC541-7B7A-43D3-8B79-37D633B846F1}">
                              <asvg:svgBlip xmlns:asvg="http://schemas.microsoft.com/office/drawing/2016/SVG/main" r:embed="rId62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5659435" cy="870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38.50pt;height:67.43pt;mso-wrap-distance-left:0.00pt;mso-wrap-distance-top:0.00pt;mso-wrap-distance-right:0.00pt;mso-wrap-distance-bottom:0.00pt;" stroked="f">
                <v:path textboxrect="0,0,0,0"/>
                <v:imagedata r:id="rId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615173"/>
                <wp:effectExtent l="0" t="0" r="0" b="0"/>
                <wp:docPr id="29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>
                          <a:extLst>
                            <a:ext uri="{96DAC541-7B7A-43D3-8B79-37D633B846F1}">
                              <asvg:svgBlip xmlns:asvg="http://schemas.microsoft.com/office/drawing/2016/SVG/main" r:embed="rId64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480174" cy="6151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510.25pt;height:48.44pt;mso-wrap-distance-left:0.00pt;mso-wrap-distance-top:0.00pt;mso-wrap-distance-right:0.00pt;mso-wrap-distance-bottom:0.00pt;" stroked="f">
                <v:path textboxrect="0,0,0,0"/>
                <v:imagedata r:id="rId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съемке, нивелировании и обследовании колодцев необходимо придерживаться п.5.180 – п.5.183 СП 11-104-97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00700" cy="3979423"/>
                <wp:effectExtent l="0" t="0" r="0" b="2540"/>
                <wp:docPr id="30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>
                          <a:extLst>
                            <a:ext uri="{96DAC541-7B7A-43D3-8B79-37D633B846F1}">
                              <asvg:svgBlip xmlns:asvg="http://schemas.microsoft.com/office/drawing/2016/SVG/main" r:embed="rId66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5630140" cy="40003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41.00pt;height:313.34pt;mso-wrap-distance-left:0.00pt;mso-wrap-distance-top:0.00pt;mso-wrap-distance-right:0.00pt;mso-wrap-distance-bottom:0.00pt;" stroked="f">
                <v:path textboxrect="0,0,0,0"/>
                <v:imagedata r:id="rId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путают кабель н</w:t>
      </w:r>
      <w:r>
        <w:rPr>
          <w:rFonts w:ascii="Times New Roman" w:hAnsi="Times New Roman" w:cs="Times New Roman"/>
          <w:sz w:val="28"/>
          <w:szCs w:val="28"/>
        </w:rPr>
        <w:t xml:space="preserve">изковольтный и высоковольтный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ример</w:t>
      </w:r>
      <w:r>
        <w:rPr>
          <w:rFonts w:ascii="Times New Roman" w:hAnsi="Times New Roman" w:cs="Times New Roman"/>
          <w:sz w:val="28"/>
          <w:szCs w:val="28"/>
        </w:rPr>
        <w:t xml:space="preserve">: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62600" cy="2027152"/>
                <wp:effectExtent l="0" t="0" r="0" b="0"/>
                <wp:docPr id="31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>
                          <a:extLst>
                            <a:ext uri="{96DAC541-7B7A-43D3-8B79-37D633B846F1}">
                              <asvg:svgBlip xmlns:asvg="http://schemas.microsoft.com/office/drawing/2016/SVG/main" r:embed="rId68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5587041" cy="20360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38.00pt;height:159.62pt;mso-wrap-distance-left:0.00pt;mso-wrap-distance-top:0.00pt;mso-wrap-distance-right:0.00pt;mso-wrap-distance-bottom:0.00pt;" stroked="f">
                <v:path textboxrect="0,0,0,0"/>
                <v:imagedata r:id="rId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Низкое напряжение до 0.4 </w:t>
      </w:r>
      <w:r>
        <w:rPr>
          <w:rFonts w:ascii="Times New Roman" w:hAnsi="Times New Roman" w:cs="Times New Roman"/>
          <w:sz w:val="28"/>
          <w:szCs w:val="28"/>
        </w:rPr>
        <w:t xml:space="preserve">кВ</w:t>
      </w:r>
      <w:r>
        <w:rPr>
          <w:rFonts w:ascii="Times New Roman" w:hAnsi="Times New Roman" w:cs="Times New Roman"/>
          <w:sz w:val="28"/>
          <w:szCs w:val="28"/>
        </w:rPr>
        <w:t xml:space="preserve"> (380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Высокое напряжение свыше 0.4 </w:t>
      </w:r>
      <w:r>
        <w:rPr>
          <w:rFonts w:ascii="Times New Roman" w:hAnsi="Times New Roman" w:cs="Times New Roman"/>
          <w:sz w:val="28"/>
          <w:szCs w:val="28"/>
        </w:rPr>
        <w:t xml:space="preserve">кВ</w:t>
      </w:r>
      <w:r>
        <w:rPr>
          <w:rFonts w:ascii="Times New Roman" w:hAnsi="Times New Roman" w:cs="Times New Roman"/>
          <w:sz w:val="28"/>
          <w:szCs w:val="28"/>
        </w:rPr>
        <w:t xml:space="preserve"> (380В)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отображение подземных и наземных трубопроводов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ример</w:t>
      </w:r>
      <w:r>
        <w:rPr>
          <w:rFonts w:ascii="Times New Roman" w:hAnsi="Times New Roman" w:cs="Times New Roman"/>
          <w:sz w:val="28"/>
          <w:szCs w:val="28"/>
        </w:rPr>
        <w:t xml:space="preserve">: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725287"/>
                <wp:effectExtent l="0" t="0" r="0" b="0"/>
                <wp:docPr id="32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>
                          <a:extLst>
                            <a:ext uri="{96DAC541-7B7A-43D3-8B79-37D633B846F1}">
                              <asvg:svgBlip xmlns:asvg="http://schemas.microsoft.com/office/drawing/2016/SVG/main" r:embed="rId70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480174" cy="7252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510.25pt;height:57.11pt;mso-wrap-distance-left:0.00pt;mso-wrap-distance-top:0.00pt;mso-wrap-distance-right:0.00pt;mso-wrap-distance-bottom:0.00pt;" stroked="f">
                <v:path textboxrect="0,0,0,0"/>
                <v:imagedata r:id="rId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Наземные трубопроводы показываются сплошной линией и только в разрыве пишется назначение коммуникации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17953" cy="3551369"/>
                <wp:effectExtent l="0" t="0" r="6985" b="0"/>
                <wp:docPr id="33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>
                          <a:extLst>
                            <a:ext uri="{96DAC541-7B7A-43D3-8B79-37D633B846F1}">
                              <asvg:svgBlip xmlns:asvg="http://schemas.microsoft.com/office/drawing/2016/SVG/main" r:embed="rId72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4753104" cy="35778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371.49pt;height:279.64pt;mso-wrap-distance-left:0.00pt;mso-wrap-distance-top:0.00pt;mso-wrap-distance-right:0.00pt;mso-wrap-distance-bottom:0.00pt;" stroked="f">
                <v:path textboxrect="0,0,0,0"/>
                <v:imagedata r:id="rId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Подземные коммуникации показываются пунктирной линией </w:t>
      </w:r>
      <w:r>
        <w:rPr>
          <w:rFonts w:ascii="Times New Roman" w:hAnsi="Times New Roman" w:cs="Times New Roman"/>
          <w:sz w:val="28"/>
          <w:szCs w:val="28"/>
        </w:rPr>
        <w:t xml:space="preserve">8.0-1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.0 х 2.0 мм масштаба плана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Т -  и - ТВ – разные сети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-Т- это отопление</w:t>
      </w:r>
      <w:r>
        <w:rPr>
          <w:rFonts w:ascii="Times New Roman" w:hAnsi="Times New Roman" w:cs="Times New Roman"/>
          <w:sz w:val="28"/>
          <w:szCs w:val="28"/>
        </w:rPr>
        <w:t xml:space="preserve">, горячая вода</w:t>
      </w:r>
      <w:r>
        <w:rPr>
          <w:rFonts w:ascii="Times New Roman" w:hAnsi="Times New Roman" w:cs="Times New Roman"/>
          <w:sz w:val="28"/>
          <w:szCs w:val="28"/>
        </w:rPr>
        <w:t xml:space="preserve"> или отопление и горячая вода (как правило парное количество труб, прямо</w:t>
      </w:r>
      <w:r>
        <w:rPr>
          <w:rFonts w:ascii="Times New Roman" w:hAnsi="Times New Roman" w:cs="Times New Roman"/>
          <w:sz w:val="28"/>
          <w:szCs w:val="28"/>
        </w:rPr>
        <w:t xml:space="preserve">е </w:t>
      </w:r>
      <w:r>
        <w:rPr>
          <w:rFonts w:ascii="Times New Roman" w:hAnsi="Times New Roman" w:cs="Times New Roman"/>
          <w:sz w:val="28"/>
          <w:szCs w:val="28"/>
        </w:rPr>
        <w:t xml:space="preserve">и обратное </w:t>
      </w:r>
      <w:r>
        <w:rPr>
          <w:rFonts w:ascii="Times New Roman" w:hAnsi="Times New Roman" w:cs="Times New Roman"/>
          <w:sz w:val="28"/>
          <w:szCs w:val="28"/>
        </w:rPr>
        <w:t xml:space="preserve">направление</w:t>
      </w:r>
      <w:r>
        <w:rPr>
          <w:rFonts w:ascii="Times New Roman" w:hAnsi="Times New Roman" w:cs="Times New Roman"/>
          <w:sz w:val="28"/>
          <w:szCs w:val="28"/>
        </w:rPr>
        <w:t xml:space="preserve">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-ТВ-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это отопление и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холодная</w:t>
      </w:r>
      <w:r>
        <w:rPr>
          <w:rFonts w:ascii="Times New Roman" w:hAnsi="Times New Roman" w:cs="Times New Roman"/>
          <w:sz w:val="28"/>
          <w:szCs w:val="28"/>
        </w:rPr>
        <w:t xml:space="preserve"> вода или отопление, горячая вода и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холодная</w:t>
      </w:r>
      <w:r>
        <w:rPr>
          <w:rFonts w:ascii="Times New Roman" w:hAnsi="Times New Roman" w:cs="Times New Roman"/>
          <w:sz w:val="28"/>
          <w:szCs w:val="28"/>
        </w:rPr>
        <w:t xml:space="preserve"> вода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(может быть нечетное количество, для холодной воды обратка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не требуется</w:t>
      </w:r>
      <w:r>
        <w:rPr>
          <w:rFonts w:ascii="Times New Roman" w:hAnsi="Times New Roman" w:cs="Times New Roman"/>
          <w:sz w:val="28"/>
          <w:szCs w:val="28"/>
        </w:rPr>
        <w:t xml:space="preserve">)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241765" cy="3219450"/>
                <wp:effectExtent l="0" t="0" r="0" b="0"/>
                <wp:docPr id="34" name="Рисунок 32" descr="R:\control\на проверке\Без имени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 descr="R:\control\на проверке\Без имени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3275397" cy="3252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255.26pt;height:253.50pt;mso-wrap-distance-left:0.00pt;mso-wrap-distance-top:0.00pt;mso-wrap-distance-right:0.00pt;mso-wrap-distance-bottom:0.00pt;" stroked="f">
                <v:path textboxrect="0,0,0,0"/>
                <v:imagedata r:id="rId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</w:pPr>
      <w:r/>
      <w:r/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14998" cy="3450590"/>
                <wp:effectExtent l="0" t="0" r="0" b="0"/>
                <wp:docPr id="35" name="Рисунок 34" descr="R:\control\на проверке\Без имени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 descr="R:\control\на проверке\Без имени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4930740" cy="346164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387.01pt;height:271.70pt;mso-wrap-distance-left:0.00pt;mso-wrap-distance-top:0.00pt;mso-wrap-distance-right:0.00pt;mso-wrap-distance-bottom:0.00pt;" stroked="f">
                <v:path textboxrect="0,0,0,0"/>
                <v:imagedata r:id="rId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val="en-US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Самая большая проблема </w:t>
      </w:r>
      <w:r>
        <w:rPr>
          <w:rFonts w:ascii="Times New Roman" w:hAnsi="Times New Roman" w:cs="Times New Roman"/>
          <w:sz w:val="28"/>
          <w:szCs w:val="28"/>
        </w:rPr>
        <w:t xml:space="preserve">при</w:t>
      </w:r>
      <w:r>
        <w:rPr>
          <w:rFonts w:ascii="Times New Roman" w:hAnsi="Times New Roman" w:cs="Times New Roman"/>
          <w:sz w:val="28"/>
          <w:szCs w:val="28"/>
        </w:rPr>
        <w:t xml:space="preserve"> съемке и нанесении инженерных коммуникаций, </w:t>
      </w:r>
      <w:r>
        <w:rPr>
          <w:rFonts w:ascii="Times New Roman" w:hAnsi="Times New Roman" w:cs="Times New Roman"/>
          <w:sz w:val="28"/>
          <w:szCs w:val="28"/>
        </w:rPr>
        <w:t xml:space="preserve">особенно </w:t>
      </w:r>
      <w:r>
        <w:rPr>
          <w:rFonts w:ascii="Times New Roman" w:hAnsi="Times New Roman" w:cs="Times New Roman"/>
          <w:sz w:val="28"/>
          <w:szCs w:val="28"/>
        </w:rPr>
        <w:t xml:space="preserve">проложенных методом ГНБ</w:t>
      </w:r>
      <w:r>
        <w:rPr>
          <w:rFonts w:ascii="Times New Roman" w:hAnsi="Times New Roman" w:cs="Times New Roman"/>
          <w:sz w:val="28"/>
          <w:szCs w:val="28"/>
        </w:rPr>
        <w:t xml:space="preserve">. К</w:t>
      </w:r>
      <w:r>
        <w:rPr>
          <w:rFonts w:ascii="Times New Roman" w:hAnsi="Times New Roman" w:cs="Times New Roman"/>
          <w:sz w:val="28"/>
          <w:szCs w:val="28"/>
        </w:rPr>
        <w:t xml:space="preserve">ак правило в этом методе используются </w:t>
      </w:r>
      <w:r>
        <w:rPr>
          <w:rFonts w:ascii="Times New Roman" w:hAnsi="Times New Roman" w:cs="Times New Roman"/>
          <w:sz w:val="28"/>
          <w:szCs w:val="28"/>
        </w:rPr>
        <w:t xml:space="preserve">полиэтиленовые трубы различного диаметра,</w:t>
      </w:r>
      <w:r>
        <w:rPr>
          <w:rFonts w:ascii="Times New Roman" w:hAnsi="Times New Roman" w:cs="Times New Roman"/>
          <w:sz w:val="28"/>
          <w:szCs w:val="28"/>
        </w:rPr>
        <w:t xml:space="preserve"> применяемые для водопроводных и газовых сетей</w:t>
      </w:r>
      <w:r>
        <w:rPr>
          <w:rFonts w:ascii="Times New Roman" w:hAnsi="Times New Roman" w:cs="Times New Roman"/>
          <w:sz w:val="28"/>
          <w:szCs w:val="28"/>
        </w:rPr>
        <w:t xml:space="preserve">. В С</w:t>
      </w:r>
      <w:r>
        <w:rPr>
          <w:rFonts w:ascii="Times New Roman" w:hAnsi="Times New Roman" w:cs="Times New Roman"/>
          <w:sz w:val="28"/>
          <w:szCs w:val="28"/>
        </w:rPr>
        <w:t xml:space="preserve">П 317.1325800.2017</w:t>
      </w:r>
      <w:r>
        <w:rPr>
          <w:rFonts w:ascii="Times New Roman" w:hAnsi="Times New Roman" w:cs="Times New Roman"/>
          <w:sz w:val="28"/>
          <w:szCs w:val="28"/>
        </w:rPr>
        <w:t xml:space="preserve"> расписаны методы съемки инженерных коммуникаций это</w:t>
      </w:r>
      <w:r>
        <w:rPr>
          <w:rFonts w:ascii="Times New Roman" w:hAnsi="Times New Roman" w:cs="Times New Roman"/>
          <w:sz w:val="28"/>
          <w:szCs w:val="28"/>
        </w:rPr>
        <w:t xml:space="preserve"> может быть как</w:t>
      </w:r>
      <w:r>
        <w:rPr>
          <w:rFonts w:ascii="Times New Roman" w:hAnsi="Times New Roman" w:cs="Times New Roman"/>
          <w:sz w:val="28"/>
          <w:szCs w:val="28"/>
        </w:rPr>
        <w:t xml:space="preserve"> в открытом виде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 xml:space="preserve">исполнительная съемка,</w:t>
      </w:r>
      <w:r>
        <w:rPr>
          <w:rFonts w:ascii="Times New Roman" w:hAnsi="Times New Roman" w:cs="Times New Roman"/>
          <w:sz w:val="28"/>
          <w:szCs w:val="28"/>
        </w:rPr>
        <w:t xml:space="preserve"> а также</w:t>
      </w:r>
      <w:r>
        <w:rPr>
          <w:rFonts w:ascii="Times New Roman" w:hAnsi="Times New Roman" w:cs="Times New Roman"/>
          <w:sz w:val="28"/>
          <w:szCs w:val="28"/>
        </w:rPr>
        <w:t xml:space="preserve"> по закопанной</w:t>
      </w:r>
      <w:r>
        <w:rPr>
          <w:rFonts w:ascii="Times New Roman" w:hAnsi="Times New Roman" w:cs="Times New Roman"/>
          <w:sz w:val="28"/>
          <w:szCs w:val="28"/>
        </w:rPr>
        <w:t xml:space="preserve"> коммуникации или уже существующей применяют</w:t>
      </w:r>
      <w:r>
        <w:rPr>
          <w:rFonts w:ascii="Times New Roman" w:hAnsi="Times New Roman" w:cs="Times New Roman"/>
          <w:sz w:val="28"/>
          <w:szCs w:val="28"/>
        </w:rPr>
        <w:t xml:space="preserve"> метод прослушивания трубокабелеискателем и</w:t>
      </w:r>
      <w:r>
        <w:rPr>
          <w:rFonts w:ascii="Times New Roman" w:hAnsi="Times New Roman" w:cs="Times New Roman"/>
          <w:sz w:val="28"/>
          <w:szCs w:val="28"/>
        </w:rPr>
        <w:t xml:space="preserve">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шурфованием.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498892"/>
                <wp:effectExtent l="0" t="0" r="0" b="0"/>
                <wp:docPr id="36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>
                          <a:extLst>
                            <a:ext uri="{96DAC541-7B7A-43D3-8B79-37D633B846F1}">
                              <asvg:svgBlip xmlns:asvg="http://schemas.microsoft.com/office/drawing/2016/SVG/main" r:embed="rId76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480174" cy="4988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510.25pt;height:39.28pt;mso-wrap-distance-left:0.00pt;mso-wrap-distance-top:0.00pt;mso-wrap-distance-right:0.00pt;mso-wrap-distance-bottom:0.00pt;" stroked="f">
                <v:path textboxrect="0,0,0,0"/>
                <v:imagedata r:id="rId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</w:r>
      <w:r>
        <w:rPr>
          <w:rFonts w:ascii="Times New Roman" w:hAnsi="Times New Roman" w:cs="Times New Roman"/>
          <w:sz w:val="28"/>
          <w:szCs w:val="28"/>
          <w:u w:val="single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АВТОМОБИЛЬНЫЕ И ГРУНТОВЫЕ ДОРОГИ, ТРОПЫ </w:t>
      </w:r>
      <w:r>
        <w:rPr>
          <w:rFonts w:ascii="Times New Roman" w:hAnsi="Times New Roman" w:cs="Times New Roman"/>
          <w:sz w:val="28"/>
          <w:szCs w:val="28"/>
          <w:u w:val="single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Применяется условный знак проезжих частей улиц и тротуаров для изображения дорог вне населенных пунктов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Пример</w:t>
      </w:r>
      <w:r>
        <w:rPr>
          <w:rFonts w:ascii="Times New Roman" w:hAnsi="Times New Roman" w:cs="Times New Roman"/>
          <w:sz w:val="28"/>
          <w:szCs w:val="28"/>
        </w:rPr>
        <w:t xml:space="preserve"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В</w:t>
      </w:r>
      <w:r>
        <w:rPr>
          <w:rFonts w:ascii="Times New Roman" w:hAnsi="Times New Roman" w:cs="Times New Roman"/>
          <w:sz w:val="28"/>
          <w:szCs w:val="28"/>
        </w:rPr>
        <w:t xml:space="preserve"> населенном пункте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jc w:val="right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35650" cy="2016574"/>
                <wp:effectExtent l="0" t="0" r="0" b="3175"/>
                <wp:docPr id="37" name="Рисунок 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>
                          <a:extLst>
                            <a:ext uri="{96DAC541-7B7A-43D3-8B79-37D633B846F1}">
                              <asvg:svgBlip xmlns:asvg="http://schemas.microsoft.com/office/drawing/2016/SVG/main" r:embed="rId78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5853179" cy="20226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59.50pt;height:158.79pt;mso-wrap-distance-left:0.00pt;mso-wrap-distance-top:0.00pt;mso-wrap-distance-right:0.00pt;mso-wrap-distance-bottom:0.00pt;" stroked="f">
                <v:path textboxrect="0,0,0,0"/>
                <v:imagedata r:id="rId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jc w:val="right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jc w:val="right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jc w:val="right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jc w:val="right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jc w:val="right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jc w:val="right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jc w:val="right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jc w:val="right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jc w:val="right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jc w:val="right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jc w:val="right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jc w:val="right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Пример</w:t>
      </w:r>
      <w:r>
        <w:rPr>
          <w:rFonts w:ascii="Times New Roman" w:hAnsi="Times New Roman" w:cs="Times New Roman"/>
          <w:sz w:val="28"/>
          <w:szCs w:val="28"/>
        </w:rPr>
        <w:t xml:space="preserve"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В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НЕ</w:t>
      </w:r>
      <w:r>
        <w:rPr>
          <w:rFonts w:ascii="Times New Roman" w:hAnsi="Times New Roman" w:cs="Times New Roman"/>
          <w:sz w:val="28"/>
          <w:szCs w:val="28"/>
        </w:rPr>
        <w:t xml:space="preserve"> населенного пункта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5010201"/>
                <wp:effectExtent l="0" t="0" r="0" b="0"/>
                <wp:docPr id="38" name="Рисуно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>
                          <a:extLst>
                            <a:ext uri="{96DAC541-7B7A-43D3-8B79-37D633B846F1}">
                              <asvg:svgBlip xmlns:asvg="http://schemas.microsoft.com/office/drawing/2016/SVG/main" r:embed="rId80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480174" cy="50102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510.25pt;height:394.50pt;mso-wrap-distance-left:0.00pt;mso-wrap-distance-top:0.00pt;mso-wrap-distance-right:0.00pt;mso-wrap-distance-bottom:0.00pt;" stroked="f">
                <v:path textboxrect="0,0,0,0"/>
                <v:imagedata r:id="rId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</w:r>
      <w:r>
        <w:rPr>
          <w:rFonts w:ascii="Times New Roman" w:hAnsi="Times New Roman" w:cs="Times New Roman"/>
          <w:sz w:val="28"/>
          <w:szCs w:val="28"/>
          <w:u w:val="single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ГИДРОГРАФИЯ</w:t>
      </w:r>
      <w:r>
        <w:rPr>
          <w:rFonts w:ascii="Times New Roman" w:hAnsi="Times New Roman" w:cs="Times New Roman"/>
          <w:sz w:val="28"/>
          <w:szCs w:val="28"/>
          <w:u w:val="single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Отсутствие знака направление течения</w:t>
      </w:r>
      <w:r>
        <w:rPr>
          <w:rFonts w:ascii="Times New Roman" w:hAnsi="Times New Roman" w:cs="Times New Roman"/>
          <w:sz w:val="28"/>
          <w:szCs w:val="28"/>
        </w:rPr>
        <w:t xml:space="preserve"> ручья или реки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Пример</w:t>
      </w:r>
      <w:r>
        <w:rPr>
          <w:rFonts w:ascii="Times New Roman" w:hAnsi="Times New Roman" w:cs="Times New Roman"/>
          <w:sz w:val="28"/>
          <w:szCs w:val="28"/>
        </w:rPr>
        <w:t xml:space="preserve">: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79974" cy="2368550"/>
                <wp:effectExtent l="0" t="0" r="6985" b="0"/>
                <wp:docPr id="39" name="Рисунок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>
                          <a:extLst>
                            <a:ext uri="{96DAC541-7B7A-43D3-8B79-37D633B846F1}">
                              <asvg:svgBlip xmlns:asvg="http://schemas.microsoft.com/office/drawing/2016/SVG/main" r:embed="rId82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5103511" cy="23795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00.00pt;height:186.50pt;mso-wrap-distance-left:0.00pt;mso-wrap-distance-top:0.00pt;mso-wrap-distance-right:0.00pt;mso-wrap-distance-bottom:0.00pt;" stroked="f">
                <v:path textboxrect="0,0,0,0"/>
                <v:imagedata r:id="rId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Частота подписи урез воды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06060" cy="908050"/>
                <wp:effectExtent l="0" t="0" r="8890" b="6350"/>
                <wp:docPr id="40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>
                          <a:extLst>
                            <a:ext uri="{96DAC541-7B7A-43D3-8B79-37D633B846F1}">
                              <asvg:svgBlip xmlns:asvg="http://schemas.microsoft.com/office/drawing/2016/SVG/main" r:embed="rId84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5369233" cy="9188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17.80pt;height:71.50pt;mso-wrap-distance-left:0.00pt;mso-wrap-distance-top:0.00pt;mso-wrap-distance-right:0.00pt;mso-wrap-distance-bottom:0.00pt;" stroked="f">
                <v:path textboxrect="0,0,0,0"/>
                <v:imagedata r:id="rId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53050" cy="1659713"/>
                <wp:effectExtent l="0" t="0" r="0" b="0"/>
                <wp:docPr id="41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>
                          <a:extLst>
                            <a:ext uri="{96DAC541-7B7A-43D3-8B79-37D633B846F1}">
                              <asvg:svgBlip xmlns:asvg="http://schemas.microsoft.com/office/drawing/2016/SVG/main" r:embed="rId86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5401743" cy="1674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21.50pt;height:130.69pt;mso-wrap-distance-left:0.00pt;mso-wrap-distance-top:0.00pt;mso-wrap-distance-right:0.00pt;mso-wrap-distance-bottom:0.00pt;" stroked="f">
                <v:path textboxrect="0,0,0,0"/>
                <v:imagedata r:id="rId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val="en-US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Водопропускная труба -   размер штриха и габариты</w:t>
      </w:r>
      <w:r>
        <w:rPr>
          <w:rFonts w:ascii="Times New Roman" w:hAnsi="Times New Roman" w:cs="Times New Roman"/>
          <w:sz w:val="28"/>
          <w:szCs w:val="28"/>
        </w:rPr>
        <w:t xml:space="preserve"> (УЗ 264</w:t>
      </w:r>
      <w:r>
        <w:rPr>
          <w:rFonts w:ascii="Times New Roman" w:hAnsi="Times New Roman" w:cs="Times New Roman"/>
          <w:sz w:val="28"/>
          <w:szCs w:val="28"/>
        </w:rPr>
        <w:t xml:space="preserve">,</w:t>
      </w:r>
      <w:r>
        <w:rPr>
          <w:rFonts w:ascii="Times New Roman" w:hAnsi="Times New Roman" w:cs="Times New Roman"/>
          <w:sz w:val="28"/>
          <w:szCs w:val="28"/>
        </w:rPr>
        <w:t xml:space="preserve"> 323)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1072877"/>
                <wp:effectExtent l="0" t="0" r="0" b="0"/>
                <wp:docPr id="42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>
                          <a:extLst>
                            <a:ext uri="{96DAC541-7B7A-43D3-8B79-37D633B846F1}">
                              <asvg:svgBlip xmlns:asvg="http://schemas.microsoft.com/office/drawing/2016/SVG/main" r:embed="rId88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480174" cy="10728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510.25pt;height:84.48pt;mso-wrap-distance-left:0.00pt;mso-wrap-distance-top:0.00pt;mso-wrap-distance-right:0.00pt;mso-wrap-distance-bottom:0.00pt;" stroked="f">
                <v:path textboxrect="0,0,0,0"/>
                <v:imagedata r:id="rId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1559603"/>
                <wp:effectExtent l="0" t="0" r="0" b="2540"/>
                <wp:docPr id="43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>
                          <a:extLst>
                            <a:ext uri="{96DAC541-7B7A-43D3-8B79-37D633B846F1}">
                              <asvg:svgBlip xmlns:asvg="http://schemas.microsoft.com/office/drawing/2016/SVG/main" r:embed="rId90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480174" cy="15596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510.25pt;height:122.80pt;mso-wrap-distance-left:0.00pt;mso-wrap-distance-top:0.00pt;mso-wrap-distance-right:0.00pt;mso-wrap-distance-bottom:0.00pt;" stroked="f">
                <v:path textboxrect="0,0,0,0"/>
                <v:imagedata r:id="rId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Размер штриха для отображения </w:t>
      </w:r>
      <w:r>
        <w:rPr>
          <w:rFonts w:ascii="Times New Roman" w:hAnsi="Times New Roman" w:cs="Times New Roman"/>
          <w:sz w:val="28"/>
          <w:szCs w:val="28"/>
        </w:rPr>
        <w:t xml:space="preserve">условного знака </w:t>
      </w:r>
      <w:r>
        <w:rPr>
          <w:rFonts w:ascii="Times New Roman" w:hAnsi="Times New Roman" w:cs="Times New Roman"/>
          <w:sz w:val="28"/>
          <w:szCs w:val="28"/>
        </w:rPr>
        <w:t xml:space="preserve">на топоплане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1.0 х 1.0</w:t>
      </w:r>
      <w:r>
        <w:rPr>
          <w:rFonts w:ascii="Times New Roman" w:hAnsi="Times New Roman" w:cs="Times New Roman"/>
          <w:sz w:val="28"/>
          <w:szCs w:val="28"/>
        </w:rPr>
        <w:t xml:space="preserve"> мм масштаба плана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Колонки водоразборные и гидравлические (водоналивные)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Пример</w:t>
      </w:r>
      <w:r>
        <w:rPr>
          <w:rFonts w:ascii="Times New Roman" w:hAnsi="Times New Roman" w:cs="Times New Roman"/>
          <w:sz w:val="28"/>
          <w:szCs w:val="28"/>
        </w:rPr>
        <w:t xml:space="preserve">: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94300" cy="1428718"/>
                <wp:effectExtent l="0" t="0" r="6350" b="635"/>
                <wp:docPr id="44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>
                          <a:extLst>
                            <a:ext uri="{96DAC541-7B7A-43D3-8B79-37D633B846F1}">
                              <asvg:svgBlip xmlns:asvg="http://schemas.microsoft.com/office/drawing/2016/SVG/main" r:embed="rId92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5274380" cy="14507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09.00pt;height:112.50pt;mso-wrap-distance-left:0.00pt;mso-wrap-distance-top:0.00pt;mso-wrap-distance-right:0.00pt;mso-wrap-distance-bottom:0.00pt;" stroked="f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342687</wp:posOffset>
                </wp:positionH>
                <wp:positionV relativeFrom="paragraph">
                  <wp:posOffset>-425450</wp:posOffset>
                </wp:positionV>
                <wp:extent cx="6394028" cy="675005"/>
                <wp:effectExtent l="0" t="0" r="0" b="0"/>
                <wp:wrapNone/>
                <wp:docPr id="45" name="Полотно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6394028" cy="675005"/>
                          <a:chOff x="0" y="0"/>
                          <a:chExt cx="6394028" cy="675005"/>
                        </a:xfrm>
                      </wpg:grpSpPr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" o:spid="_x0000_s0000" style="position:absolute;z-index:251660288;o:allowoverlap:true;o:allowincell:true;mso-position-horizontal-relative:page;margin-left:26.98pt;mso-position-horizontal:absolute;mso-position-vertical-relative:text;margin-top:-33.50pt;mso-position-vertical:absolute;width:503.47pt;height:53.15pt;mso-wrap-distance-left:9.00pt;mso-wrap-distance-top:0.00pt;mso-wrap-distance-right:9.00pt;mso-wrap-distance-bottom:0.00pt;" coordorigin="0,0" coordsize="63940,6750"/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РЕЛЬЕФ</w:t>
      </w:r>
      <w:r>
        <w:rPr>
          <w:rFonts w:ascii="Times New Roman" w:hAnsi="Times New Roman" w:cs="Times New Roman"/>
          <w:sz w:val="28"/>
          <w:szCs w:val="28"/>
          <w:u w:val="single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Горизонталь основная и утолщенная (толщина линии)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54700" cy="1498701"/>
                <wp:effectExtent l="0" t="0" r="0" b="6350"/>
                <wp:docPr id="46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>
                          <a:extLst>
                            <a:ext uri="{96DAC541-7B7A-43D3-8B79-37D633B846F1}">
                              <asvg:svgBlip xmlns:asvg="http://schemas.microsoft.com/office/drawing/2016/SVG/main" r:embed="rId94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5884040" cy="15062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61.00pt;height:118.01pt;mso-wrap-distance-left:0.00pt;mso-wrap-distance-top:0.00pt;mso-wrap-distance-right:0.00pt;mso-wrap-distance-bottom:0.00pt;" stroked="f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</w:t>
      </w:r>
      <w:r>
        <w:rPr>
          <w:rFonts w:ascii="Times New Roman" w:hAnsi="Times New Roman" w:cs="Times New Roman"/>
          <w:sz w:val="28"/>
          <w:szCs w:val="28"/>
        </w:rPr>
        <w:t xml:space="preserve"> высот</w:t>
      </w:r>
      <w:r>
        <w:rPr>
          <w:rFonts w:ascii="Times New Roman" w:hAnsi="Times New Roman" w:cs="Times New Roman"/>
          <w:sz w:val="28"/>
          <w:szCs w:val="28"/>
        </w:rPr>
        <w:t xml:space="preserve">е</w:t>
      </w:r>
      <w:r>
        <w:rPr>
          <w:rFonts w:ascii="Times New Roman" w:hAnsi="Times New Roman" w:cs="Times New Roman"/>
          <w:sz w:val="28"/>
          <w:szCs w:val="28"/>
        </w:rPr>
        <w:t xml:space="preserve"> сечения </w:t>
      </w:r>
      <w:r>
        <w:rPr>
          <w:rFonts w:ascii="Times New Roman" w:hAnsi="Times New Roman" w:cs="Times New Roman"/>
          <w:sz w:val="28"/>
          <w:szCs w:val="28"/>
        </w:rPr>
        <w:t xml:space="preserve">рельефа </w:t>
      </w:r>
      <w:r>
        <w:rPr>
          <w:rFonts w:ascii="Times New Roman" w:hAnsi="Times New Roman" w:cs="Times New Roman"/>
          <w:sz w:val="28"/>
          <w:szCs w:val="28"/>
        </w:rPr>
        <w:t xml:space="preserve">0.5 м утолщенными будут горизонтали кратн</w:t>
      </w:r>
      <w:r>
        <w:rPr>
          <w:rFonts w:ascii="Times New Roman" w:hAnsi="Times New Roman" w:cs="Times New Roman"/>
          <w:sz w:val="28"/>
          <w:szCs w:val="28"/>
        </w:rPr>
        <w:t xml:space="preserve">ые</w:t>
      </w:r>
      <w:r>
        <w:rPr>
          <w:rFonts w:ascii="Times New Roman" w:hAnsi="Times New Roman" w:cs="Times New Roman"/>
          <w:sz w:val="28"/>
          <w:szCs w:val="28"/>
        </w:rPr>
        <w:t xml:space="preserve"> 2 метра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т.е. </w:t>
      </w:r>
      <w:r>
        <w:rPr>
          <w:rFonts w:ascii="Times New Roman" w:hAnsi="Times New Roman" w:cs="Times New Roman"/>
          <w:sz w:val="28"/>
          <w:szCs w:val="28"/>
        </w:rPr>
        <w:t xml:space="preserve">каждая четвертая</w:t>
      </w:r>
      <w:r>
        <w:rPr>
          <w:rFonts w:ascii="Times New Roman" w:hAnsi="Times New Roman" w:cs="Times New Roman"/>
          <w:sz w:val="28"/>
          <w:szCs w:val="28"/>
        </w:rPr>
        <w:t xml:space="preserve"> (100.0 , 102.0 , 104.0 и т.д. как правило применяется для масштаба</w:t>
      </w:r>
      <w:r>
        <w:rPr>
          <w:rFonts w:ascii="Times New Roman" w:hAnsi="Times New Roman" w:cs="Times New Roman"/>
          <w:sz w:val="28"/>
          <w:szCs w:val="28"/>
        </w:rPr>
        <w:t xml:space="preserve"> 1:500 и 1:1000</w:t>
      </w:r>
      <w:r>
        <w:rPr>
          <w:rFonts w:ascii="Times New Roman" w:hAnsi="Times New Roman" w:cs="Times New Roman"/>
          <w:sz w:val="28"/>
          <w:szCs w:val="28"/>
        </w:rPr>
        <w:t xml:space="preserve"> )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</w:t>
      </w:r>
      <w:r>
        <w:rPr>
          <w:rFonts w:ascii="Times New Roman" w:hAnsi="Times New Roman" w:cs="Times New Roman"/>
          <w:sz w:val="28"/>
          <w:szCs w:val="28"/>
        </w:rPr>
        <w:t xml:space="preserve"> высот</w:t>
      </w:r>
      <w:r>
        <w:rPr>
          <w:rFonts w:ascii="Times New Roman" w:hAnsi="Times New Roman" w:cs="Times New Roman"/>
          <w:sz w:val="28"/>
          <w:szCs w:val="28"/>
        </w:rPr>
        <w:t xml:space="preserve">е</w:t>
      </w:r>
      <w:r>
        <w:rPr>
          <w:rFonts w:ascii="Times New Roman" w:hAnsi="Times New Roman" w:cs="Times New Roman"/>
          <w:sz w:val="28"/>
          <w:szCs w:val="28"/>
        </w:rPr>
        <w:t xml:space="preserve"> сечения </w:t>
      </w:r>
      <w:r>
        <w:rPr>
          <w:rFonts w:ascii="Times New Roman" w:hAnsi="Times New Roman" w:cs="Times New Roman"/>
          <w:sz w:val="28"/>
          <w:szCs w:val="28"/>
        </w:rPr>
        <w:t xml:space="preserve">рельефа </w:t>
      </w:r>
      <w:r>
        <w:rPr>
          <w:rFonts w:ascii="Times New Roman" w:hAnsi="Times New Roman" w:cs="Times New Roman"/>
          <w:sz w:val="28"/>
          <w:szCs w:val="28"/>
        </w:rPr>
        <w:t xml:space="preserve">1.0 м утолщенными </w:t>
      </w:r>
      <w:r>
        <w:rPr>
          <w:rFonts w:ascii="Times New Roman" w:hAnsi="Times New Roman" w:cs="Times New Roman"/>
          <w:sz w:val="28"/>
          <w:szCs w:val="28"/>
        </w:rPr>
        <w:t xml:space="preserve">горизонталями </w:t>
      </w:r>
      <w:r>
        <w:rPr>
          <w:rFonts w:ascii="Times New Roman" w:hAnsi="Times New Roman" w:cs="Times New Roman"/>
          <w:sz w:val="28"/>
          <w:szCs w:val="28"/>
        </w:rPr>
        <w:t xml:space="preserve">будут каждая пятая (100.0 , 10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.0 , 1</w:t>
      </w:r>
      <w:r>
        <w:rPr>
          <w:rFonts w:ascii="Times New Roman" w:hAnsi="Times New Roman" w:cs="Times New Roman"/>
          <w:sz w:val="28"/>
          <w:szCs w:val="28"/>
        </w:rPr>
        <w:t xml:space="preserve">10</w:t>
      </w:r>
      <w:r>
        <w:rPr>
          <w:rFonts w:ascii="Times New Roman" w:hAnsi="Times New Roman" w:cs="Times New Roman"/>
          <w:sz w:val="28"/>
          <w:szCs w:val="28"/>
        </w:rPr>
        <w:t xml:space="preserve">.0 и т.д. как правило применяется для масштаба 1:</w:t>
      </w:r>
      <w:r>
        <w:rPr>
          <w:rFonts w:ascii="Times New Roman" w:hAnsi="Times New Roman" w:cs="Times New Roman"/>
          <w:sz w:val="28"/>
          <w:szCs w:val="28"/>
        </w:rPr>
        <w:t xml:space="preserve">10</w:t>
      </w:r>
      <w:r>
        <w:rPr>
          <w:rFonts w:ascii="Times New Roman" w:hAnsi="Times New Roman" w:cs="Times New Roman"/>
          <w:sz w:val="28"/>
          <w:szCs w:val="28"/>
        </w:rPr>
        <w:t xml:space="preserve">00 и 1:</w:t>
      </w:r>
      <w:r>
        <w:rPr>
          <w:rFonts w:ascii="Times New Roman" w:hAnsi="Times New Roman" w:cs="Times New Roman"/>
          <w:sz w:val="28"/>
          <w:szCs w:val="28"/>
        </w:rPr>
        <w:t xml:space="preserve">20</w:t>
      </w:r>
      <w:r>
        <w:rPr>
          <w:rFonts w:ascii="Times New Roman" w:hAnsi="Times New Roman" w:cs="Times New Roman"/>
          <w:sz w:val="28"/>
          <w:szCs w:val="28"/>
        </w:rPr>
        <w:t xml:space="preserve">00 ).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Надписи горизонталей (</w:t>
      </w:r>
      <w:r>
        <w:rPr>
          <w:rFonts w:ascii="Times New Roman" w:hAnsi="Times New Roman" w:cs="Times New Roman"/>
          <w:sz w:val="28"/>
          <w:szCs w:val="28"/>
        </w:rPr>
        <w:t xml:space="preserve">основание цифр пишется </w:t>
      </w:r>
      <w:r>
        <w:rPr>
          <w:rFonts w:ascii="Times New Roman" w:hAnsi="Times New Roman" w:cs="Times New Roman"/>
          <w:sz w:val="28"/>
          <w:szCs w:val="28"/>
        </w:rPr>
        <w:t xml:space="preserve">в сторону</w:t>
      </w:r>
      <w:r>
        <w:rPr>
          <w:rFonts w:ascii="Times New Roman" w:hAnsi="Times New Roman" w:cs="Times New Roman"/>
          <w:sz w:val="28"/>
          <w:szCs w:val="28"/>
        </w:rPr>
        <w:t xml:space="preserve"> понижения рельефа</w:t>
      </w:r>
      <w:r>
        <w:rPr>
          <w:rFonts w:ascii="Times New Roman" w:hAnsi="Times New Roman" w:cs="Times New Roman"/>
          <w:sz w:val="28"/>
          <w:szCs w:val="28"/>
        </w:rPr>
        <w:t xml:space="preserve">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70500" cy="668280"/>
                <wp:effectExtent l="0" t="0" r="6350" b="0"/>
                <wp:docPr id="47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>
                          <a:extLst>
                            <a:ext uri="{96DAC541-7B7A-43D3-8B79-37D633B846F1}">
                              <asvg:svgBlip xmlns:asvg="http://schemas.microsoft.com/office/drawing/2016/SVG/main" r:embed="rId96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5427222" cy="6881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15.00pt;height:52.62pt;mso-wrap-distance-left:0.00pt;mso-wrap-distance-top:0.00pt;mso-wrap-distance-right:0.00pt;mso-wrap-distance-bottom:0.00pt;" stroked="f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603874"/>
                <wp:effectExtent l="0" t="0" r="0" b="6350"/>
                <wp:docPr id="48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>
                          <a:extLst>
                            <a:ext uri="{96DAC541-7B7A-43D3-8B79-37D633B846F1}">
                              <asvg:svgBlip xmlns:asvg="http://schemas.microsoft.com/office/drawing/2016/SVG/main" r:embed="rId98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5986871" cy="6095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67.00pt;height:47.55pt;mso-wrap-distance-left:0.00pt;mso-wrap-distance-top:0.00pt;mso-wrap-distance-right:0.00pt;mso-wrap-distance-bottom:0.00pt;" stroked="f">
                <v:path textboxrect="0,0,0,0"/>
                <v:imagedata r:id="rId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Отсутствие </w:t>
      </w:r>
      <w:r>
        <w:rPr>
          <w:rFonts w:ascii="Times New Roman" w:hAnsi="Times New Roman" w:cs="Times New Roman"/>
          <w:sz w:val="28"/>
          <w:szCs w:val="28"/>
        </w:rPr>
        <w:t xml:space="preserve">бергштрихов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9077" cy="736600"/>
                <wp:effectExtent l="0" t="0" r="0" b="6350"/>
                <wp:docPr id="49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>
                          <a:extLst>
                            <a:ext uri="{96DAC541-7B7A-43D3-8B79-37D633B846F1}">
                              <asvg:svgBlip xmlns:asvg="http://schemas.microsoft.com/office/drawing/2016/SVG/main" r:embed="rId100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231945" cy="7477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83.39pt;height:58.00pt;mso-wrap-distance-left:0.00pt;mso-wrap-distance-top:0.00pt;mso-wrap-distance-right:0.00pt;mso-wrap-distance-bottom:0.00pt;" stroked="f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РАСТИТЕЛЬНОСТЬ</w:t>
      </w:r>
      <w:r>
        <w:rPr>
          <w:rFonts w:ascii="Times New Roman" w:hAnsi="Times New Roman" w:cs="Times New Roman"/>
          <w:sz w:val="28"/>
          <w:szCs w:val="28"/>
          <w:u w:val="single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Применяют </w:t>
      </w:r>
      <w:r>
        <w:rPr>
          <w:rFonts w:ascii="Times New Roman" w:hAnsi="Times New Roman" w:cs="Times New Roman"/>
          <w:sz w:val="28"/>
          <w:szCs w:val="28"/>
        </w:rPr>
        <w:t xml:space="preserve">условный знак</w:t>
      </w:r>
      <w:r>
        <w:rPr>
          <w:rFonts w:ascii="Times New Roman" w:hAnsi="Times New Roman" w:cs="Times New Roman"/>
          <w:sz w:val="28"/>
          <w:szCs w:val="28"/>
        </w:rPr>
        <w:t xml:space="preserve"> отде</w:t>
      </w:r>
      <w:r>
        <w:rPr>
          <w:rFonts w:ascii="Times New Roman" w:hAnsi="Times New Roman" w:cs="Times New Roman"/>
          <w:sz w:val="28"/>
          <w:szCs w:val="28"/>
        </w:rPr>
        <w:t xml:space="preserve">льно стоящее дерево (лиственное</w:t>
      </w:r>
      <w:r>
        <w:rPr>
          <w:rFonts w:ascii="Times New Roman" w:hAnsi="Times New Roman" w:cs="Times New Roman"/>
          <w:sz w:val="28"/>
          <w:szCs w:val="28"/>
        </w:rPr>
        <w:t xml:space="preserve">, хвойное</w:t>
      </w:r>
      <w:r>
        <w:rPr>
          <w:rFonts w:ascii="Times New Roman" w:hAnsi="Times New Roman" w:cs="Times New Roman"/>
          <w:sz w:val="28"/>
          <w:szCs w:val="28"/>
        </w:rPr>
        <w:t xml:space="preserve"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УЗ контурной съемк</w:t>
      </w:r>
      <w:r>
        <w:rPr>
          <w:rFonts w:ascii="Times New Roman" w:hAnsi="Times New Roman" w:cs="Times New Roman"/>
          <w:sz w:val="28"/>
          <w:szCs w:val="28"/>
        </w:rPr>
        <w:t xml:space="preserve">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jc w:val="right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jc w:val="right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Отдельно стоящее дерево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52472" cy="768350"/>
                <wp:effectExtent l="0" t="0" r="0" b="0"/>
                <wp:docPr id="50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>
                          <a:extLst>
                            <a:ext uri="{96DAC541-7B7A-43D3-8B79-37D633B846F1}">
                              <asvg:svgBlip xmlns:asvg="http://schemas.microsoft.com/office/drawing/2016/SVG/main" r:embed="rId102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308547" cy="7752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92.32pt;height:60.50pt;mso-wrap-distance-left:0.00pt;mso-wrap-distance-top:0.00pt;mso-wrap-distance-right:0.00pt;mso-wrap-distance-bottom:0.00pt;" stroked="f">
                <v:path textboxrect="0,0,0,0"/>
                <v:imagedata r:id="rId1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1731545"/>
                <wp:effectExtent l="0" t="0" r="0" b="2540"/>
                <wp:docPr id="51" name="Рисунок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>
                          <a:extLst>
                            <a:ext uri="{96DAC541-7B7A-43D3-8B79-37D633B846F1}">
                              <asvg:svgBlip xmlns:asvg="http://schemas.microsoft.com/office/drawing/2016/SVG/main" r:embed="rId104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480174" cy="1731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510.25pt;height:136.34pt;mso-wrap-distance-left:0.00pt;mso-wrap-distance-top:0.00pt;mso-wrap-distance-right:0.00pt;mso-wrap-distance-bottom:0.00pt;" stroked="f">
                <v:path textboxrect="0,0,0,0"/>
                <v:imagedata r:id="rId1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276725" cy="2953505"/>
                <wp:effectExtent l="0" t="0" r="0" b="0"/>
                <wp:docPr id="52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>
                          <a:extLst>
                            <a:ext uri="{96DAC541-7B7A-43D3-8B79-37D633B846F1}">
                              <asvg:svgBlip xmlns:asvg="http://schemas.microsoft.com/office/drawing/2016/SVG/main" r:embed="rId106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4323053" cy="29854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336.75pt;height:232.56pt;mso-wrap-distance-left:0.00pt;mso-wrap-distance-top:0.00pt;mso-wrap-distance-right:0.00pt;mso-wrap-distance-bottom:0.00pt;" stroked="f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Леса естественные и саженные (расположение кружков)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jc w:val="right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Расположение кружков хаотичное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88144" cy="958850"/>
                <wp:effectExtent l="0" t="0" r="3175" b="0"/>
                <wp:docPr id="53" name="Рисунок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>
                          <a:extLst>
                            <a:ext uri="{96DAC541-7B7A-43D3-8B79-37D633B846F1}">
                              <asvg:svgBlip xmlns:asvg="http://schemas.microsoft.com/office/drawing/2016/SVG/main" r:embed="rId108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5440401" cy="9681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24.26pt;height:75.50pt;mso-wrap-distance-left:0.00pt;mso-wrap-distance-top:0.00pt;mso-wrap-distance-right:0.00pt;mso-wrap-distance-bottom:0.00pt;" stroked="f">
                <v:path textboxrect="0,0,0,0"/>
                <v:imagedata r:id="rId1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jc w:val="right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Расположение кружков в шахматном порядке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1284489"/>
                <wp:effectExtent l="0" t="0" r="0" b="0"/>
                <wp:docPr id="54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>
                          <a:extLst>
                            <a:ext uri="{96DAC541-7B7A-43D3-8B79-37D633B846F1}">
                              <asvg:svgBlip xmlns:asvg="http://schemas.microsoft.com/office/drawing/2016/SVG/main" r:embed="rId110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6480174" cy="1284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510.25pt;height:101.14pt;mso-wrap-distance-left:0.00pt;mso-wrap-distance-top:0.00pt;mso-wrap-distance-right:0.00pt;mso-wrap-distance-bottom:0.00pt;" stroked="f">
                <v:path textboxrect="0,0,0,0"/>
                <v:imagedata r:id="rId1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Пут</w:t>
      </w:r>
      <w:r>
        <w:rPr>
          <w:rFonts w:ascii="Times New Roman" w:hAnsi="Times New Roman" w:cs="Times New Roman"/>
          <w:sz w:val="28"/>
          <w:szCs w:val="28"/>
        </w:rPr>
        <w:t xml:space="preserve">ают высокорослые леса и поросль</w:t>
      </w:r>
      <w:r>
        <w:rPr>
          <w:rFonts w:ascii="Times New Roman" w:hAnsi="Times New Roman" w:cs="Times New Roman"/>
          <w:sz w:val="28"/>
          <w:szCs w:val="28"/>
        </w:rPr>
        <w:t xml:space="preserve">, а </w:t>
      </w:r>
      <w:r>
        <w:rPr>
          <w:rFonts w:ascii="Times New Roman" w:hAnsi="Times New Roman" w:cs="Times New Roman"/>
          <w:sz w:val="28"/>
          <w:szCs w:val="28"/>
        </w:rPr>
        <w:t xml:space="preserve">т.ж</w:t>
      </w:r>
      <w:r>
        <w:rPr>
          <w:rFonts w:ascii="Times New Roman" w:hAnsi="Times New Roman" w:cs="Times New Roman"/>
          <w:sz w:val="28"/>
          <w:szCs w:val="28"/>
        </w:rPr>
        <w:t xml:space="preserve">. метрические данные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69510" cy="1065744"/>
                <wp:effectExtent l="0" t="0" r="7620" b="1270"/>
                <wp:docPr id="55" name="Рисунок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>
                          <a:extLst>
                            <a:ext uri="{96DAC541-7B7A-43D3-8B79-37D633B846F1}">
                              <asvg:svgBlip xmlns:asvg="http://schemas.microsoft.com/office/drawing/2016/SVG/main" r:embed="rId112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5395015" cy="10911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14.92pt;height:83.92pt;mso-wrap-distance-left:0.00pt;mso-wrap-distance-top:0.00pt;mso-wrap-distance-right:0.00pt;mso-wrap-distance-bottom:0.00pt;" stroked="f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59400" cy="1090922"/>
                <wp:effectExtent l="0" t="0" r="0" b="0"/>
                <wp:docPr id="56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>
                          <a:extLst>
                            <a:ext uri="{96DAC541-7B7A-43D3-8B79-37D633B846F1}">
                              <asvg:svgBlip xmlns:asvg="http://schemas.microsoft.com/office/drawing/2016/SVG/main" r:embed="rId114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5453626" cy="11101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22.00pt;height:85.90pt;mso-wrap-distance-left:0.00pt;mso-wrap-distance-top:0.00pt;mso-wrap-distance-right:0.00pt;mso-wrap-distance-bottom:0.00pt;" stroked="f">
                <v:path textboxrect="0,0,0,0"/>
                <v:imagedata r:id="rId1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Куст отдельно стоящий и группа кустов 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Группа кустов рисуется без контура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97500" cy="1910916"/>
                <wp:effectExtent l="0" t="0" r="0" b="0"/>
                <wp:docPr id="57" name="Рисунок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>
                          <a:extLst>
                            <a:ext uri="{96DAC541-7B7A-43D3-8B79-37D633B846F1}">
                              <asvg:svgBlip xmlns:asvg="http://schemas.microsoft.com/office/drawing/2016/SVG/main" r:embed="rId116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5414288" cy="1916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25.00pt;height:150.47pt;mso-wrap-distance-left:0.00pt;mso-wrap-distance-top:0.00pt;mso-wrap-distance-right:0.00pt;mso-wrap-distance-bottom:0.00pt;" stroked="f">
                <v:path textboxrect="0,0,0,0"/>
                <v:imagedata r:id="rId1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Колючие кустарники</w:t>
      </w:r>
      <w:r>
        <w:rPr>
          <w:rFonts w:ascii="Times New Roman" w:hAnsi="Times New Roman" w:cs="Times New Roman"/>
          <w:sz w:val="28"/>
          <w:szCs w:val="28"/>
        </w:rPr>
        <w:t xml:space="preserve"> без изображения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«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!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»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40400" cy="1333784"/>
                <wp:effectExtent l="0" t="0" r="0" b="0"/>
                <wp:docPr id="58" name="Рисунок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>
                          <a:extLst>
                            <a:ext uri="{96DAC541-7B7A-43D3-8B79-37D633B846F1}">
                              <asvg:svgBlip xmlns:asvg="http://schemas.microsoft.com/office/drawing/2016/SVG/main" r:embed="rId118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5783706" cy="13438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452.00pt;height:105.02pt;mso-wrap-distance-left:0.00pt;mso-wrap-distance-top:0.00pt;mso-wrap-distance-right:0.00pt;mso-wrap-distance-bottom:0.00pt;" stroked="f">
                <v:path textboxrect="0,0,0,0"/>
                <v:imagedata r:id="rId1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val="en-US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ind w:firstLine="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размеры в </w:t>
      </w:r>
      <w:r>
        <w:rPr>
          <w:rFonts w:ascii="Times New Roman" w:hAnsi="Times New Roman" w:cs="Times New Roman"/>
          <w:sz w:val="28"/>
          <w:szCs w:val="28"/>
        </w:rPr>
        <w:t xml:space="preserve">книге «У</w:t>
      </w:r>
      <w:r>
        <w:rPr>
          <w:rFonts w:ascii="Times New Roman" w:hAnsi="Times New Roman" w:cs="Times New Roman"/>
          <w:sz w:val="28"/>
          <w:szCs w:val="28"/>
        </w:rPr>
        <w:t xml:space="preserve">словны</w:t>
      </w:r>
      <w:r>
        <w:rPr>
          <w:rFonts w:ascii="Times New Roman" w:hAnsi="Times New Roman" w:cs="Times New Roman"/>
          <w:sz w:val="28"/>
          <w:szCs w:val="28"/>
        </w:rPr>
        <w:t xml:space="preserve">е</w:t>
      </w:r>
      <w:r>
        <w:rPr>
          <w:rFonts w:ascii="Times New Roman" w:hAnsi="Times New Roman" w:cs="Times New Roman"/>
          <w:sz w:val="28"/>
          <w:szCs w:val="28"/>
        </w:rPr>
        <w:t xml:space="preserve"> знак</w:t>
      </w:r>
      <w:r>
        <w:rPr>
          <w:rFonts w:ascii="Times New Roman" w:hAnsi="Times New Roman" w:cs="Times New Roman"/>
          <w:sz w:val="28"/>
          <w:szCs w:val="28"/>
        </w:rPr>
        <w:t xml:space="preserve">и для топографических планов масштабов 1:5000, 1:2000, 1:1000, 1:500»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указаны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 xml:space="preserve">ММ/МАСШТАБА</w:t>
      </w:r>
      <w:r>
        <w:rPr>
          <w:rFonts w:ascii="Times New Roman" w:hAnsi="Times New Roman" w:cs="Times New Roman"/>
          <w:sz w:val="28"/>
          <w:szCs w:val="28"/>
        </w:rPr>
        <w:t xml:space="preserve"> плана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708"/>
        <w:ind w:firstLine="0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sectPr>
      <w:footerReference w:type="default" r:id="rId9"/>
      <w:footnotePr/>
      <w:endnotePr/>
      <w:type w:val="nextPage"/>
      <w:pgSz w:w="11906" w:h="16838" w:orient="portrait"/>
      <w:pgMar w:top="568" w:right="567" w:bottom="567" w:left="1134" w:header="720" w:footer="720" w:gutter="0"/>
      <w:cols w:num="1" w:sep="0" w:space="720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</w:font>
  <w:font w:name="SimSun">
    <w:panose1 w:val="02000506000000020000"/>
  </w:font>
  <w:font w:name="Liberation Serif">
    <w:panose1 w:val="02020603050405020304"/>
  </w:font>
  <w:font w:name="Courier New">
    <w:panose1 w:val="02070409020205020404"/>
  </w:font>
  <w:font w:name="Tahoma">
    <w:panose1 w:val="020B0604030504040204"/>
  </w:font>
  <w:font w:name="Times New Roman">
    <w:panose1 w:val="02020603050405020304"/>
  </w:font>
  <w:font w:name="Microsoft YaHei">
    <w:panose1 w:val="020B0503020203020204"/>
  </w:font>
  <w:font w:name="Lucida Sans">
    <w:panose1 w:val="020B0602040504020204"/>
  </w:font>
  <w:font w:name="Liberation Sans">
    <w:panose1 w:val="020B0604020202020204"/>
  </w:font>
  <w:font w:name="Cambria">
    <w:panose1 w:val="02040503050406030204"/>
  </w:font>
  <w:font w:name="Arial">
    <w:panose1 w:val="020B060402020202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689"/>
      <w:jc w:val="center"/>
    </w:pPr>
    <w:r>
      <w:fldChar w:fldCharType="begin"/>
    </w:r>
    <w:r>
      <w:instrText xml:space="preserve"> PAGE </w:instrText>
    </w:r>
    <w:r>
      <w:fldChar w:fldCharType="separate"/>
    </w:r>
    <w:r>
      <w:t xml:space="preserve">16</w:t>
    </w:r>
    <w:r>
      <w:fldChar w:fldCharType="end"/>
    </w:r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rPr>
          <w:color w:val="000000"/>
        </w:rPr>
        <w:separator/>
      </w:r>
      <w:r/>
    </w:p>
  </w:footnote>
  <w:footnote w:type="continuationSeparator" w:id="0">
    <w:p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899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1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3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5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7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49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1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3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59" w:hanging="180"/>
      </w:pPr>
    </w:lvl>
  </w:abstractNum>
  <w:abstractNum w:abstractNumId="1">
    <w:multiLevelType w:val="hybridMultilevel"/>
    <w:styleLink w:val="705"/>
    <w:lvl w:ilvl="0">
      <w:start w:val="1"/>
      <w:numFmt w:val="none"/>
      <w:pStyle w:val="705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none"/>
      <w:isLgl w:val="false"/>
      <w:suff w:val="tab"/>
      <w:lvlText w:val="%2."/>
      <w:lvlJc w:val="left"/>
      <w:pPr>
        <w:ind w:left="1080" w:hanging="360"/>
      </w:pPr>
    </w:lvl>
    <w:lvl w:ilvl="2">
      <w:start w:val="1"/>
      <w:numFmt w:val="none"/>
      <w:isLgl w:val="false"/>
      <w:suff w:val="tab"/>
      <w:lvlText w:val="%3."/>
      <w:lvlJc w:val="left"/>
      <w:pPr>
        <w:ind w:left="1440" w:hanging="360"/>
      </w:pPr>
    </w:lvl>
    <w:lvl w:ilvl="3">
      <w:start w:val="1"/>
      <w:numFmt w:val="none"/>
      <w:isLgl w:val="false"/>
      <w:suff w:val="tab"/>
      <w:lvlText w:val="%4."/>
      <w:lvlJc w:val="left"/>
      <w:pPr>
        <w:ind w:left="1800" w:hanging="360"/>
      </w:pPr>
    </w:lvl>
    <w:lvl w:ilvl="4">
      <w:start w:val="1"/>
      <w:numFmt w:val="none"/>
      <w:isLgl w:val="false"/>
      <w:suff w:val="tab"/>
      <w:lvlText w:val="%5."/>
      <w:lvlJc w:val="left"/>
      <w:pPr>
        <w:ind w:left="2160" w:hanging="360"/>
      </w:pPr>
    </w:lvl>
    <w:lvl w:ilvl="5">
      <w:start w:val="1"/>
      <w:numFmt w:val="none"/>
      <w:isLgl w:val="false"/>
      <w:suff w:val="tab"/>
      <w:lvlText w:val="%6."/>
      <w:lvlJc w:val="left"/>
      <w:pPr>
        <w:ind w:left="2520" w:hanging="360"/>
      </w:pPr>
    </w:lvl>
    <w:lvl w:ilvl="6">
      <w:start w:val="1"/>
      <w:numFmt w:val="none"/>
      <w:isLgl w:val="false"/>
      <w:suff w:val="tab"/>
      <w:lvlText w:val="%7."/>
      <w:lvlJc w:val="left"/>
      <w:pPr>
        <w:ind w:left="2880" w:hanging="360"/>
      </w:pPr>
    </w:lvl>
    <w:lvl w:ilvl="7">
      <w:start w:val="1"/>
      <w:numFmt w:val="none"/>
      <w:isLgl w:val="false"/>
      <w:suff w:val="tab"/>
      <w:lvlText w:val="%8."/>
      <w:lvlJc w:val="left"/>
      <w:pPr>
        <w:ind w:left="3240" w:hanging="360"/>
      </w:pPr>
    </w:lvl>
    <w:lvl w:ilvl="8">
      <w:start w:val="1"/>
      <w:numFmt w:val="none"/>
      <w:isLgl w:val="false"/>
      <w:suff w:val="tab"/>
      <w:lvlText w:val="%9."/>
      <w:lvlJc w:val="left"/>
      <w:pPr>
        <w:ind w:left="360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autoHyphenation w:val="true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sz w:val="24"/>
        <w:szCs w:val="24"/>
        <w:lang w:val="ru-RU" w:eastAsia="ru-RU" w:bidi="ar-SA"/>
      </w:rPr>
    </w:rPrDefault>
    <w:pPrDefault>
      <w:pPr>
        <w:widowControl w:val="off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14">
    <w:name w:val="Heading 1 Char"/>
    <w:basedOn w:val="673"/>
    <w:link w:val="672"/>
    <w:uiPriority w:val="9"/>
    <w:rPr>
      <w:rFonts w:ascii="Arial" w:hAnsi="Arial" w:eastAsia="Arial" w:cs="Arial"/>
      <w:sz w:val="40"/>
      <w:szCs w:val="40"/>
    </w:rPr>
  </w:style>
  <w:style w:type="paragraph" w:styleId="15">
    <w:name w:val="Heading 2"/>
    <w:basedOn w:val="671"/>
    <w:next w:val="671"/>
    <w:link w:val="16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16">
    <w:name w:val="Heading 2 Char"/>
    <w:basedOn w:val="673"/>
    <w:link w:val="15"/>
    <w:uiPriority w:val="9"/>
    <w:rPr>
      <w:rFonts w:ascii="Arial" w:hAnsi="Arial" w:eastAsia="Arial" w:cs="Arial"/>
      <w:sz w:val="34"/>
    </w:rPr>
  </w:style>
  <w:style w:type="paragraph" w:styleId="17">
    <w:name w:val="Heading 3"/>
    <w:basedOn w:val="671"/>
    <w:next w:val="671"/>
    <w:link w:val="18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18">
    <w:name w:val="Heading 3 Char"/>
    <w:basedOn w:val="673"/>
    <w:link w:val="17"/>
    <w:uiPriority w:val="9"/>
    <w:rPr>
      <w:rFonts w:ascii="Arial" w:hAnsi="Arial" w:eastAsia="Arial" w:cs="Arial"/>
      <w:sz w:val="30"/>
      <w:szCs w:val="30"/>
    </w:rPr>
  </w:style>
  <w:style w:type="paragraph" w:styleId="19">
    <w:name w:val="Heading 4"/>
    <w:basedOn w:val="671"/>
    <w:next w:val="671"/>
    <w:link w:val="20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20">
    <w:name w:val="Heading 4 Char"/>
    <w:basedOn w:val="673"/>
    <w:link w:val="19"/>
    <w:uiPriority w:val="9"/>
    <w:rPr>
      <w:rFonts w:ascii="Arial" w:hAnsi="Arial" w:eastAsia="Arial" w:cs="Arial"/>
      <w:b/>
      <w:bCs/>
      <w:sz w:val="26"/>
      <w:szCs w:val="26"/>
    </w:rPr>
  </w:style>
  <w:style w:type="paragraph" w:styleId="21">
    <w:name w:val="Heading 5"/>
    <w:basedOn w:val="671"/>
    <w:next w:val="671"/>
    <w:link w:val="22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22">
    <w:name w:val="Heading 5 Char"/>
    <w:basedOn w:val="673"/>
    <w:link w:val="21"/>
    <w:uiPriority w:val="9"/>
    <w:rPr>
      <w:rFonts w:ascii="Arial" w:hAnsi="Arial" w:eastAsia="Arial" w:cs="Arial"/>
      <w:b/>
      <w:bCs/>
      <w:sz w:val="24"/>
      <w:szCs w:val="24"/>
    </w:rPr>
  </w:style>
  <w:style w:type="paragraph" w:styleId="23">
    <w:name w:val="Heading 6"/>
    <w:basedOn w:val="671"/>
    <w:next w:val="671"/>
    <w:link w:val="24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24">
    <w:name w:val="Heading 6 Char"/>
    <w:basedOn w:val="673"/>
    <w:link w:val="23"/>
    <w:uiPriority w:val="9"/>
    <w:rPr>
      <w:rFonts w:ascii="Arial" w:hAnsi="Arial" w:eastAsia="Arial" w:cs="Arial"/>
      <w:b/>
      <w:bCs/>
      <w:sz w:val="22"/>
      <w:szCs w:val="22"/>
    </w:rPr>
  </w:style>
  <w:style w:type="paragraph" w:styleId="25">
    <w:name w:val="Heading 7"/>
    <w:basedOn w:val="671"/>
    <w:next w:val="671"/>
    <w:link w:val="26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6">
    <w:name w:val="Heading 7 Char"/>
    <w:basedOn w:val="673"/>
    <w:link w:val="25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27">
    <w:name w:val="Heading 8"/>
    <w:basedOn w:val="671"/>
    <w:next w:val="671"/>
    <w:link w:val="28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8">
    <w:name w:val="Heading 8 Char"/>
    <w:basedOn w:val="673"/>
    <w:link w:val="27"/>
    <w:uiPriority w:val="9"/>
    <w:rPr>
      <w:rFonts w:ascii="Arial" w:hAnsi="Arial" w:eastAsia="Arial" w:cs="Arial"/>
      <w:i/>
      <w:iCs/>
      <w:sz w:val="22"/>
      <w:szCs w:val="22"/>
    </w:rPr>
  </w:style>
  <w:style w:type="paragraph" w:styleId="29">
    <w:name w:val="Heading 9"/>
    <w:basedOn w:val="671"/>
    <w:next w:val="671"/>
    <w:link w:val="30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30">
    <w:name w:val="Heading 9 Char"/>
    <w:basedOn w:val="673"/>
    <w:link w:val="29"/>
    <w:uiPriority w:val="9"/>
    <w:rPr>
      <w:rFonts w:ascii="Arial" w:hAnsi="Arial" w:eastAsia="Arial" w:cs="Arial"/>
      <w:i/>
      <w:iCs/>
      <w:sz w:val="21"/>
      <w:szCs w:val="21"/>
    </w:rPr>
  </w:style>
  <w:style w:type="paragraph" w:styleId="34">
    <w:name w:val="Title"/>
    <w:basedOn w:val="671"/>
    <w:next w:val="671"/>
    <w:link w:val="3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35">
    <w:name w:val="Title Char"/>
    <w:basedOn w:val="673"/>
    <w:link w:val="34"/>
    <w:uiPriority w:val="10"/>
    <w:rPr>
      <w:sz w:val="48"/>
      <w:szCs w:val="48"/>
    </w:rPr>
  </w:style>
  <w:style w:type="paragraph" w:styleId="36">
    <w:name w:val="Subtitle"/>
    <w:basedOn w:val="671"/>
    <w:next w:val="671"/>
    <w:link w:val="37"/>
    <w:uiPriority w:val="11"/>
    <w:qFormat/>
    <w:pPr>
      <w:spacing w:before="200" w:after="200"/>
    </w:pPr>
    <w:rPr>
      <w:sz w:val="24"/>
      <w:szCs w:val="24"/>
    </w:rPr>
  </w:style>
  <w:style w:type="character" w:styleId="37">
    <w:name w:val="Subtitle Char"/>
    <w:basedOn w:val="673"/>
    <w:link w:val="36"/>
    <w:uiPriority w:val="11"/>
    <w:rPr>
      <w:sz w:val="24"/>
      <w:szCs w:val="24"/>
    </w:rPr>
  </w:style>
  <w:style w:type="paragraph" w:styleId="38">
    <w:name w:val="Quote"/>
    <w:basedOn w:val="671"/>
    <w:next w:val="671"/>
    <w:link w:val="39"/>
    <w:uiPriority w:val="29"/>
    <w:qFormat/>
    <w:pPr>
      <w:ind w:left="720" w:right="720"/>
    </w:pPr>
    <w:rPr>
      <w:i/>
    </w:rPr>
  </w:style>
  <w:style w:type="character" w:styleId="39">
    <w:name w:val="Quote Char"/>
    <w:link w:val="38"/>
    <w:uiPriority w:val="29"/>
    <w:rPr>
      <w:i/>
    </w:rPr>
  </w:style>
  <w:style w:type="paragraph" w:styleId="40">
    <w:name w:val="Intense Quote"/>
    <w:basedOn w:val="671"/>
    <w:next w:val="671"/>
    <w:link w:val="4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41">
    <w:name w:val="Intense Quote Char"/>
    <w:link w:val="40"/>
    <w:uiPriority w:val="30"/>
    <w:rPr>
      <w:i/>
    </w:rPr>
  </w:style>
  <w:style w:type="character" w:styleId="43">
    <w:name w:val="Header Char"/>
    <w:basedOn w:val="673"/>
    <w:link w:val="688"/>
    <w:uiPriority w:val="99"/>
  </w:style>
  <w:style w:type="character" w:styleId="45">
    <w:name w:val="Footer Char"/>
    <w:basedOn w:val="673"/>
    <w:link w:val="689"/>
    <w:uiPriority w:val="99"/>
  </w:style>
  <w:style w:type="character" w:styleId="47">
    <w:name w:val="Caption Char"/>
    <w:basedOn w:val="673"/>
    <w:link w:val="680"/>
    <w:uiPriority w:val="35"/>
    <w:rPr>
      <w:b/>
      <w:bCs/>
      <w:color w:val="4f81bd" w:themeColor="accent1"/>
      <w:sz w:val="18"/>
      <w:szCs w:val="18"/>
    </w:rPr>
  </w:style>
  <w:style w:type="table" w:styleId="49">
    <w:name w:val="Table Grid Light"/>
    <w:basedOn w:val="674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50">
    <w:name w:val="Plain Table 1"/>
    <w:basedOn w:val="674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1">
    <w:name w:val="Plain Table 2"/>
    <w:basedOn w:val="674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2">
    <w:name w:val="Plain Table 3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3">
    <w:name w:val="Plain Table 4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4">
    <w:name w:val="Plain Table 5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5">
    <w:name w:val="Grid Table 1 Light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">
    <w:name w:val="Grid Table 1 Light - Accent 1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2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3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4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1 Light - Accent 5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1">
    <w:name w:val="Grid Table 1 Light - Accent 6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2">
    <w:name w:val="Grid Table 2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3">
    <w:name w:val="Grid Table 2 - Accent 1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2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3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4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2 - Accent 5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2 - Accent 6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3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 - Accent 1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2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3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4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3 - Accent 5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">
    <w:name w:val="Grid Table 3 - Accent 6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">
    <w:name w:val="Grid Table 4"/>
    <w:basedOn w:val="67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7">
    <w:name w:val="Grid Table 4 - Accent 1"/>
    <w:basedOn w:val="67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67a4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8">
    <w:name w:val="Grid Table 4 - Accent 2"/>
    <w:basedOn w:val="67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9">
    <w:name w:val="Grid Table 4 - Accent 3"/>
    <w:basedOn w:val="67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0">
    <w:name w:val="Grid Table 4 - Accent 4"/>
    <w:basedOn w:val="67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1">
    <w:name w:val="Grid Table 4 - Accent 5"/>
    <w:basedOn w:val="67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2">
    <w:name w:val="Grid Table 4 - Accent 6"/>
    <w:basedOn w:val="67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3">
    <w:name w:val="Grid Table 5 Dark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4">
    <w:name w:val="Grid Table 5 Dark- Accent 1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debf6" w:themeFill="accent1" w:themeFillTint="34"/>
    </w:tblPr>
    <w:tblStylePr w:type="band1Horz">
      <w:tcPr>
        <w:shd w:val="clear" w:color="ffffff" w:themeColor="accent1" w:themeTint="75" w:fill="b4d2eb" w:themeFill="accent1" w:themeFillTint="75"/>
      </w:tcPr>
    </w:tblStylePr>
    <w:tblStylePr w:type="band1Vert">
      <w:tcPr>
        <w:shd w:val="clear" w:color="ffffff" w:themeColor="accent1" w:themeTint="75" w:fill="b4d2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</w:style>
  <w:style w:type="table" w:styleId="85">
    <w:name w:val="Grid Table 5 Dark - Accent 2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blStylePr w:type="band1Horz">
      <w:tcPr>
        <w:shd w:val="clear" w:color="ffffff" w:themeColor="accent2" w:themeTint="75" w:fill="f6c3a1" w:themeFill="accent2" w:themeFillTint="75"/>
      </w:tcPr>
    </w:tblStylePr>
    <w:tblStylePr w:type="band1Vert">
      <w:tcPr>
        <w:shd w:val="clear" w:color="ffffff" w:themeColor="accent2" w:themeTint="75" w:fill="f6c3a1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</w:style>
  <w:style w:type="table" w:styleId="86">
    <w:name w:val="Grid Table 5 Dark - Accent 3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blStylePr w:type="band1Horz">
      <w:tcPr>
        <w:shd w:val="clear" w:color="ffffff" w:themeColor="accent3" w:themeTint="75" w:fill="d6d6d6" w:themeFill="accent3" w:themeFillTint="75"/>
      </w:tcPr>
    </w:tblStylePr>
    <w:tblStylePr w:type="band1Vert">
      <w:tcPr>
        <w:shd w:val="clear" w:color="ffffff" w:themeColor="accent3" w:themeTint="75" w:fill="d6d6d6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</w:style>
  <w:style w:type="table" w:styleId="87">
    <w:name w:val="Grid Table 5 Dark- Accent 4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blStylePr w:type="band1Horz">
      <w:tcPr>
        <w:shd w:val="clear" w:color="ffffff" w:themeColor="accent4" w:themeTint="75" w:fill="fee189" w:themeFill="accent4" w:themeFillTint="75"/>
      </w:tcPr>
    </w:tblStylePr>
    <w:tblStylePr w:type="band1Vert">
      <w:tcPr>
        <w:shd w:val="clear" w:color="ffffff" w:themeColor="accent4" w:themeTint="75" w:fill="fee189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</w:style>
  <w:style w:type="table" w:styleId="88">
    <w:name w:val="Grid Table 5 Dark - Accent 5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2" w:themeFill="accent5" w:themeFillTint="34"/>
    </w:tblPr>
    <w:tblStylePr w:type="band1Horz">
      <w:tcPr>
        <w:shd w:val="clear" w:color="ffffff" w:themeColor="accent5" w:themeTint="75" w:fill="aabfe3" w:themeFill="accent5" w:themeFillTint="75"/>
      </w:tcPr>
    </w:tblStylePr>
    <w:tblStylePr w:type="band1Vert">
      <w:tcPr>
        <w:shd w:val="clear" w:color="ffffff" w:themeColor="accent5" w:themeTint="75" w:fill="aabfe3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</w:style>
  <w:style w:type="table" w:styleId="89">
    <w:name w:val="Grid Table 5 Dark - Accent 6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blStylePr w:type="band1Horz">
      <w:tcPr>
        <w:shd w:val="clear" w:color="ffffff" w:themeColor="accent6" w:themeTint="75" w:fill="bedba8" w:themeFill="accent6" w:themeFillTint="75"/>
      </w:tcPr>
    </w:tblStylePr>
    <w:tblStylePr w:type="band1Vert">
      <w:tcPr>
        <w:shd w:val="clear" w:color="ffffff" w:themeColor="accent6" w:themeTint="75" w:fill="be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</w:style>
  <w:style w:type="table" w:styleId="90">
    <w:name w:val="Grid Table 6 Colorful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91">
    <w:name w:val="Grid Table 6 Colorful - Accent 1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17bba" w:themeColor="accent1" w:themeTint="80" w:themeShade="95"/>
      </w:rPr>
    </w:tblStylePr>
    <w:tblStylePr w:type="firstRow">
      <w:rPr>
        <w:b/>
        <w:color w:val="317bba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17bba" w:themeColor="accent1" w:themeTint="80" w:themeShade="95"/>
      </w:rPr>
    </w:tblStylePr>
    <w:tblStylePr w:type="lastRow">
      <w:rPr>
        <w:b/>
        <w:color w:val="317bba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2">
    <w:name w:val="Grid Table 6 Colorful - Accent 2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3">
    <w:name w:val="Grid Table 6 Colorful - Accent 3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606060" w:themeColor="accent3" w:themeTint="FE" w:themeShade="95"/>
      </w:rPr>
    </w:tblStylePr>
    <w:tblStylePr w:type="firstRow">
      <w:rPr>
        <w:b/>
        <w:color w:val="606060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</w:tblStylePr>
    <w:tblStylePr w:type="lastRow">
      <w:rPr>
        <w:b/>
        <w:color w:val="606060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4">
    <w:name w:val="Grid Table 6 Colorful - Accent 4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5">
    <w:name w:val="Grid Table 6 Colorful - Accent 5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6">
    <w:name w:val="Grid Table 6 Colorful - Accent 6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7">
    <w:name w:val="Grid Table 7 Colorful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8">
    <w:name w:val="Grid Table 7 Colorful - Accent 1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17bba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2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3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60606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4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2">
    <w:name w:val="Grid Table 7 Colorful - Accent 5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54374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254374" w:themeColor="accent5" w:themeShade="95"/>
        <w:sz w:val="22"/>
      </w:r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3">
    <w:name w:val="Grid Table 7 Colorful - Accent 6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26429" w:themeColor="accent6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26429" w:themeColor="accent6" w:themeShade="95"/>
        <w:sz w:val="22"/>
      </w:r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4">
    <w:name w:val="List Table 1 Light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5">
    <w:name w:val="List Table 1 Light - Accent 1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2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3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4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1 Light - Accent 5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">
    <w:name w:val="List Table 1 Light - Accent 6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1">
    <w:name w:val="List Table 2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2">
    <w:name w:val="List Table 2 - Accent 1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3">
    <w:name w:val="List Table 2 - Accent 2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4">
    <w:name w:val="List Table 2 - Accent 3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5">
    <w:name w:val="List Table 2 - Accent 4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6">
    <w:name w:val="List Table 2 - Accent 5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7">
    <w:name w:val="List Table 2 - Accent 6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8">
    <w:name w:val="List Table 3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">
    <w:name w:val="List Table 3 - Accent 1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2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3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4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3 - Accent 5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8eab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3 - Accent 6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aad08f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 - Accent 1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2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3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4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4 - Accent 5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1">
    <w:name w:val="List Table 4 - Accent 6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2">
    <w:name w:val="List Table 5 Dark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3">
    <w:name w:val="List Table 5 Dark - Accent 1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blStylePr w:type="band1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4">
    <w:name w:val="List Table 5 Dark - Accent 2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blStylePr w:type="band1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5">
    <w:name w:val="List Table 5 Dark - Accent 3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blStylePr w:type="band1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6">
    <w:name w:val="List Table 5 Dark - Accent 4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blStylePr w:type="band1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7">
    <w:name w:val="List Table 5 Dark - Accent 5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bdb" w:themeFill="accent5" w:themeFillTint="9A"/>
    </w:tblPr>
    <w:tblStylePr w:type="band1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8eab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8eab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8">
    <w:name w:val="List Table 5 Dark - Accent 6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blStylePr w:type="band1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9">
    <w:name w:val="List Table 6 Colorful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40">
    <w:name w:val="List Table 6 Colorful - Accent 1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45d8d" w:themeColor="accent1" w:themeShade="95"/>
      </w:rPr>
    </w:tblStylePr>
    <w:tblStylePr w:type="firstRow">
      <w:rPr>
        <w:b/>
        <w:color w:val="245d8d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d8d" w:themeColor="accent1" w:themeShade="95"/>
      </w:rPr>
    </w:tblStylePr>
    <w:tblStylePr w:type="lastRow">
      <w:rPr>
        <w:b/>
        <w:color w:val="245d8d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41">
    <w:name w:val="List Table 6 Colorful - Accent 2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2">
    <w:name w:val="List Table 6 Colorful - Accent 3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57575" w:themeColor="accent3" w:themeTint="98" w:themeShade="95"/>
      </w:rPr>
    </w:tblStylePr>
    <w:tblStylePr w:type="firstRow">
      <w:rPr>
        <w:b/>
        <w:color w:val="757575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</w:tblStylePr>
    <w:tblStylePr w:type="lastRow">
      <w:rPr>
        <w:b/>
        <w:color w:val="757575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3">
    <w:name w:val="List Table 6 Colorful - Accent 4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4">
    <w:name w:val="List Table 6 Colorful - Accent 5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5e9e" w:themeColor="accent5" w:themeTint="9A" w:themeShade="95"/>
      </w:rPr>
    </w:tblStylePr>
    <w:tblStylePr w:type="firstRow">
      <w:rPr>
        <w:b/>
        <w:color w:val="335e9e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e9e" w:themeColor="accent5" w:themeTint="9A" w:themeShade="95"/>
      </w:rPr>
    </w:tblStylePr>
    <w:tblStylePr w:type="lastRow">
      <w:rPr>
        <w:b/>
        <w:color w:val="335e9e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5">
    <w:name w:val="List Table 6 Colorful - Accent 6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5f8f3c" w:themeColor="accent6" w:themeTint="98" w:themeShade="95"/>
      </w:rPr>
    </w:tblStylePr>
    <w:tblStylePr w:type="firstRow">
      <w:rPr>
        <w:b/>
        <w:color w:val="5f8f3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</w:tblStylePr>
    <w:tblStylePr w:type="lastRow">
      <w:rPr>
        <w:b/>
        <w:color w:val="5f8f3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6">
    <w:name w:val="List Table 7 Colorful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47">
    <w:name w:val="List Table 7 Colorful - Accent 1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45d8d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245d8d" w:themeColor="accent1" w:themeShade="95"/>
        <w:sz w:val="22"/>
      </w:r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245d8d" w:themeColor="accent1" w:themeShade="95"/>
        <w:sz w:val="22"/>
      </w:rPr>
    </w:tblStylePr>
  </w:style>
  <w:style w:type="table" w:styleId="148">
    <w:name w:val="List Table 7 Colorful - Accent 2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</w:tblStylePr>
  </w:style>
  <w:style w:type="table" w:styleId="149">
    <w:name w:val="List Table 7 Colorful - Accent 3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57575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</w:tblStylePr>
  </w:style>
  <w:style w:type="table" w:styleId="150">
    <w:name w:val="List Table 7 Colorful - Accent 4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</w:tblStylePr>
  </w:style>
  <w:style w:type="table" w:styleId="151">
    <w:name w:val="List Table 7 Colorful - Accent 5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5e9e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</w:tblStylePr>
  </w:style>
  <w:style w:type="table" w:styleId="152">
    <w:name w:val="List Table 7 Colorful - Accent 6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5f8f3c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</w:tblStylePr>
  </w:style>
  <w:style w:type="table" w:styleId="153">
    <w:name w:val="Lined - Accent"/>
    <w:basedOn w:val="67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4">
    <w:name w:val="Lined - Accent 1"/>
    <w:basedOn w:val="67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155">
    <w:name w:val="Lined - Accent 2"/>
    <w:basedOn w:val="67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156">
    <w:name w:val="Lined - Accent 3"/>
    <w:basedOn w:val="67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157">
    <w:name w:val="Lined - Accent 4"/>
    <w:basedOn w:val="67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158">
    <w:name w:val="Lined - Accent 5"/>
    <w:basedOn w:val="67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159">
    <w:name w:val="Lined - Accent 6"/>
    <w:basedOn w:val="67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160">
    <w:name w:val="Bordered &amp; Lined - Accent"/>
    <w:basedOn w:val="67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1">
    <w:name w:val="Bordered &amp; Lined - Accent 1"/>
    <w:basedOn w:val="67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162">
    <w:name w:val="Bordered &amp; Lined - Accent 2"/>
    <w:basedOn w:val="67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163">
    <w:name w:val="Bordered &amp; Lined - Accent 3"/>
    <w:basedOn w:val="67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164">
    <w:name w:val="Bordered &amp; Lined - Accent 4"/>
    <w:basedOn w:val="67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165">
    <w:name w:val="Bordered &amp; Lined - Accent 5"/>
    <w:basedOn w:val="67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166">
    <w:name w:val="Bordered &amp; Lined - Accent 6"/>
    <w:basedOn w:val="67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167">
    <w:name w:val="Bordered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8">
    <w:name w:val="Bordered - Accent 1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69">
    <w:name w:val="Bordered - Accent 2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70">
    <w:name w:val="Bordered - Accent 3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71">
    <w:name w:val="Bordered - Accent 4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2">
    <w:name w:val="Bordered - Accent 5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3">
    <w:name w:val="Bordered - Accent 6"/>
    <w:basedOn w:val="67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174">
    <w:name w:val="Hyperlink"/>
    <w:uiPriority w:val="99"/>
    <w:unhideWhenUsed/>
    <w:rPr>
      <w:color w:val="0000ff" w:themeColor="hyperlink"/>
      <w:u w:val="single"/>
    </w:rPr>
  </w:style>
  <w:style w:type="paragraph" w:styleId="175">
    <w:name w:val="footnote text"/>
    <w:basedOn w:val="671"/>
    <w:link w:val="176"/>
    <w:uiPriority w:val="99"/>
    <w:semiHidden/>
    <w:unhideWhenUsed/>
    <w:pPr>
      <w:spacing w:after="40" w:line="240" w:lineRule="auto"/>
    </w:pPr>
    <w:rPr>
      <w:sz w:val="18"/>
    </w:rPr>
  </w:style>
  <w:style w:type="character" w:styleId="176">
    <w:name w:val="Footnote Text Char"/>
    <w:link w:val="175"/>
    <w:uiPriority w:val="99"/>
    <w:rPr>
      <w:sz w:val="18"/>
    </w:rPr>
  </w:style>
  <w:style w:type="character" w:styleId="177">
    <w:name w:val="footnote reference"/>
    <w:basedOn w:val="673"/>
    <w:uiPriority w:val="99"/>
    <w:unhideWhenUsed/>
    <w:rPr>
      <w:vertAlign w:val="superscript"/>
    </w:rPr>
  </w:style>
  <w:style w:type="paragraph" w:styleId="178">
    <w:name w:val="endnote text"/>
    <w:basedOn w:val="671"/>
    <w:link w:val="179"/>
    <w:uiPriority w:val="99"/>
    <w:semiHidden/>
    <w:unhideWhenUsed/>
    <w:pPr>
      <w:spacing w:after="0" w:line="240" w:lineRule="auto"/>
    </w:pPr>
    <w:rPr>
      <w:sz w:val="20"/>
    </w:rPr>
  </w:style>
  <w:style w:type="character" w:styleId="179">
    <w:name w:val="Endnote Text Char"/>
    <w:link w:val="178"/>
    <w:uiPriority w:val="99"/>
    <w:rPr>
      <w:sz w:val="20"/>
    </w:rPr>
  </w:style>
  <w:style w:type="character" w:styleId="180">
    <w:name w:val="endnote reference"/>
    <w:basedOn w:val="673"/>
    <w:uiPriority w:val="99"/>
    <w:semiHidden/>
    <w:unhideWhenUsed/>
    <w:rPr>
      <w:vertAlign w:val="superscript"/>
    </w:rPr>
  </w:style>
  <w:style w:type="paragraph" w:styleId="181">
    <w:name w:val="toc 1"/>
    <w:basedOn w:val="671"/>
    <w:next w:val="671"/>
    <w:uiPriority w:val="39"/>
    <w:unhideWhenUsed/>
    <w:pPr>
      <w:ind w:left="0" w:right="0" w:firstLine="0"/>
      <w:spacing w:after="57"/>
    </w:pPr>
  </w:style>
  <w:style w:type="paragraph" w:styleId="182">
    <w:name w:val="toc 2"/>
    <w:basedOn w:val="671"/>
    <w:next w:val="671"/>
    <w:uiPriority w:val="39"/>
    <w:unhideWhenUsed/>
    <w:pPr>
      <w:ind w:left="283" w:right="0" w:firstLine="0"/>
      <w:spacing w:after="57"/>
    </w:pPr>
  </w:style>
  <w:style w:type="paragraph" w:styleId="183">
    <w:name w:val="toc 3"/>
    <w:basedOn w:val="671"/>
    <w:next w:val="671"/>
    <w:uiPriority w:val="39"/>
    <w:unhideWhenUsed/>
    <w:pPr>
      <w:ind w:left="567" w:right="0" w:firstLine="0"/>
      <w:spacing w:after="57"/>
    </w:pPr>
  </w:style>
  <w:style w:type="paragraph" w:styleId="184">
    <w:name w:val="toc 4"/>
    <w:basedOn w:val="671"/>
    <w:next w:val="671"/>
    <w:uiPriority w:val="39"/>
    <w:unhideWhenUsed/>
    <w:pPr>
      <w:ind w:left="850" w:right="0" w:firstLine="0"/>
      <w:spacing w:after="57"/>
    </w:pPr>
  </w:style>
  <w:style w:type="paragraph" w:styleId="185">
    <w:name w:val="toc 5"/>
    <w:basedOn w:val="671"/>
    <w:next w:val="671"/>
    <w:uiPriority w:val="39"/>
    <w:unhideWhenUsed/>
    <w:pPr>
      <w:ind w:left="1134" w:right="0" w:firstLine="0"/>
      <w:spacing w:after="57"/>
    </w:pPr>
  </w:style>
  <w:style w:type="paragraph" w:styleId="186">
    <w:name w:val="toc 6"/>
    <w:basedOn w:val="671"/>
    <w:next w:val="671"/>
    <w:uiPriority w:val="39"/>
    <w:unhideWhenUsed/>
    <w:pPr>
      <w:ind w:left="1417" w:right="0" w:firstLine="0"/>
      <w:spacing w:after="57"/>
    </w:pPr>
  </w:style>
  <w:style w:type="paragraph" w:styleId="187">
    <w:name w:val="toc 7"/>
    <w:basedOn w:val="671"/>
    <w:next w:val="671"/>
    <w:uiPriority w:val="39"/>
    <w:unhideWhenUsed/>
    <w:pPr>
      <w:ind w:left="1701" w:right="0" w:firstLine="0"/>
      <w:spacing w:after="57"/>
    </w:pPr>
  </w:style>
  <w:style w:type="paragraph" w:styleId="188">
    <w:name w:val="toc 8"/>
    <w:basedOn w:val="671"/>
    <w:next w:val="671"/>
    <w:uiPriority w:val="39"/>
    <w:unhideWhenUsed/>
    <w:pPr>
      <w:ind w:left="1984" w:right="0" w:firstLine="0"/>
      <w:spacing w:after="57"/>
    </w:pPr>
  </w:style>
  <w:style w:type="paragraph" w:styleId="189">
    <w:name w:val="toc 9"/>
    <w:basedOn w:val="671"/>
    <w:next w:val="671"/>
    <w:uiPriority w:val="39"/>
    <w:unhideWhenUsed/>
    <w:pPr>
      <w:ind w:left="2268" w:right="0" w:firstLine="0"/>
      <w:spacing w:after="57"/>
    </w:pPr>
  </w:style>
  <w:style w:type="paragraph" w:styleId="190">
    <w:name w:val="TOC Heading"/>
    <w:uiPriority w:val="39"/>
    <w:unhideWhenUsed/>
  </w:style>
  <w:style w:type="paragraph" w:styleId="191">
    <w:name w:val="table of figures"/>
    <w:basedOn w:val="671"/>
    <w:next w:val="671"/>
    <w:uiPriority w:val="99"/>
    <w:unhideWhenUsed/>
    <w:pPr>
      <w:spacing w:after="0" w:afterAutospacing="0"/>
    </w:pPr>
  </w:style>
  <w:style w:type="paragraph" w:styleId="671" w:default="1">
    <w:name w:val="Normal"/>
  </w:style>
  <w:style w:type="paragraph" w:styleId="672">
    <w:name w:val="Heading 1"/>
    <w:basedOn w:val="676"/>
    <w:pPr>
      <w:keepNext/>
      <w:spacing w:before="240" w:after="60"/>
      <w:outlineLvl w:val="0"/>
    </w:pPr>
    <w:rPr>
      <w:rFonts w:ascii="Cambria" w:hAnsi="Cambria" w:eastAsia="Cambria" w:cs="Cambria"/>
      <w:b/>
      <w:bCs/>
      <w:sz w:val="32"/>
      <w:szCs w:val="32"/>
    </w:rPr>
  </w:style>
  <w:style w:type="character" w:styleId="673" w:default="1">
    <w:name w:val="Default Paragraph Font"/>
    <w:uiPriority w:val="1"/>
    <w:semiHidden/>
    <w:unhideWhenUsed/>
  </w:style>
  <w:style w:type="table" w:styleId="674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75" w:default="1">
    <w:name w:val="No List"/>
    <w:uiPriority w:val="99"/>
    <w:semiHidden/>
    <w:unhideWhenUsed/>
  </w:style>
  <w:style w:type="paragraph" w:styleId="676" w:customStyle="1">
    <w:name w:val="Standard"/>
    <w:rPr>
      <w:color w:val="000000"/>
    </w:rPr>
  </w:style>
  <w:style w:type="paragraph" w:styleId="677" w:customStyle="1">
    <w:name w:val="Heading"/>
    <w:basedOn w:val="676"/>
    <w:next w:val="678"/>
    <w:pPr>
      <w:keepNext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678" w:customStyle="1">
    <w:name w:val="Text body"/>
    <w:basedOn w:val="676"/>
    <w:pPr>
      <w:spacing w:after="140" w:line="276" w:lineRule="auto"/>
    </w:pPr>
  </w:style>
  <w:style w:type="paragraph" w:styleId="679">
    <w:name w:val="List"/>
    <w:basedOn w:val="678"/>
    <w:rPr>
      <w:rFonts w:cs="Lucida Sans"/>
    </w:rPr>
  </w:style>
  <w:style w:type="paragraph" w:styleId="680">
    <w:name w:val="Caption"/>
    <w:basedOn w:val="676"/>
    <w:pPr>
      <w:spacing w:before="120" w:after="120"/>
      <w:suppressLineNumbers/>
    </w:pPr>
    <w:rPr>
      <w:rFonts w:cs="Lucida Sans"/>
      <w:i/>
      <w:iCs/>
    </w:rPr>
  </w:style>
  <w:style w:type="paragraph" w:styleId="681" w:customStyle="1">
    <w:name w:val="Index"/>
    <w:basedOn w:val="676"/>
    <w:pPr>
      <w:suppressLineNumbers/>
    </w:pPr>
    <w:rPr>
      <w:rFonts w:cs="Lucida Sans"/>
    </w:rPr>
  </w:style>
  <w:style w:type="paragraph" w:styleId="682">
    <w:name w:val="No Spacing"/>
    <w:rPr>
      <w:color w:val="000000"/>
    </w:rPr>
  </w:style>
  <w:style w:type="paragraph" w:styleId="683">
    <w:name w:val="Balloon Text"/>
    <w:basedOn w:val="676"/>
    <w:rPr>
      <w:rFonts w:ascii="Tahoma" w:hAnsi="Tahoma" w:eastAsia="Tahoma" w:cs="Tahoma"/>
      <w:sz w:val="16"/>
      <w:szCs w:val="16"/>
    </w:rPr>
  </w:style>
  <w:style w:type="paragraph" w:styleId="684">
    <w:name w:val="List Paragraph"/>
    <w:basedOn w:val="676"/>
    <w:pPr>
      <w:ind w:left="720"/>
    </w:pPr>
  </w:style>
  <w:style w:type="paragraph" w:styleId="685" w:customStyle="1">
    <w:name w:val="Абзац списка1"/>
    <w:basedOn w:val="676"/>
    <w:pPr>
      <w:ind w:left="720"/>
    </w:pPr>
  </w:style>
  <w:style w:type="paragraph" w:styleId="686">
    <w:name w:val="Normal (Web)"/>
    <w:basedOn w:val="676"/>
    <w:pPr>
      <w:spacing w:before="280" w:after="280"/>
      <w:widowControl/>
    </w:pPr>
    <w:rPr>
      <w:color w:val="00000a"/>
    </w:rPr>
  </w:style>
  <w:style w:type="paragraph" w:styleId="687" w:customStyle="1">
    <w:name w:val="FR2"/>
    <w:pPr>
      <w:ind w:left="400"/>
    </w:pPr>
    <w:rPr>
      <w:rFonts w:ascii="Arial" w:hAnsi="Arial" w:eastAsia="Arial" w:cs="Arial"/>
      <w:b/>
      <w:bCs/>
      <w:color w:val="00000a"/>
      <w:sz w:val="16"/>
      <w:szCs w:val="16"/>
      <w:lang w:val="en-US"/>
    </w:rPr>
  </w:style>
  <w:style w:type="paragraph" w:styleId="688">
    <w:name w:val="Header"/>
    <w:basedOn w:val="676"/>
    <w:pPr>
      <w:tabs>
        <w:tab w:val="center" w:pos="4677" w:leader="none"/>
        <w:tab w:val="right" w:pos="9355" w:leader="none"/>
      </w:tabs>
    </w:pPr>
  </w:style>
  <w:style w:type="paragraph" w:styleId="689">
    <w:name w:val="Footer"/>
    <w:basedOn w:val="676"/>
    <w:pPr>
      <w:tabs>
        <w:tab w:val="center" w:pos="4677" w:leader="none"/>
        <w:tab w:val="right" w:pos="9355" w:leader="none"/>
      </w:tabs>
    </w:pPr>
  </w:style>
  <w:style w:type="paragraph" w:styleId="690" w:customStyle="1">
    <w:name w:val="Table Contents"/>
    <w:basedOn w:val="676"/>
    <w:pPr>
      <w:suppressLineNumbers/>
    </w:pPr>
  </w:style>
  <w:style w:type="character" w:styleId="691" w:customStyle="1">
    <w:name w:val="Заголовок 1 Знак"/>
    <w:basedOn w:val="673"/>
    <w:rPr>
      <w:rFonts w:ascii="Cambria" w:hAnsi="Cambria" w:eastAsia="Times New Roman" w:cs="Times New Roman"/>
      <w:b/>
      <w:bCs/>
      <w:color w:val="000000"/>
      <w:sz w:val="32"/>
      <w:szCs w:val="32"/>
    </w:rPr>
  </w:style>
  <w:style w:type="character" w:styleId="692" w:customStyle="1">
    <w:name w:val="Текст выноски Знак"/>
    <w:basedOn w:val="673"/>
    <w:rPr>
      <w:rFonts w:ascii="Tahoma" w:hAnsi="Tahoma" w:eastAsia="Tahoma" w:cs="Tahoma"/>
      <w:color w:val="000000"/>
      <w:sz w:val="16"/>
      <w:szCs w:val="16"/>
    </w:rPr>
  </w:style>
  <w:style w:type="character" w:styleId="693" w:customStyle="1">
    <w:name w:val="blk"/>
    <w:basedOn w:val="673"/>
  </w:style>
  <w:style w:type="character" w:styleId="694" w:customStyle="1">
    <w:name w:val="Internet link"/>
    <w:basedOn w:val="673"/>
    <w:rPr>
      <w:color w:val="0000ff"/>
      <w:u w:val="single"/>
    </w:rPr>
  </w:style>
  <w:style w:type="character" w:styleId="695" w:customStyle="1">
    <w:name w:val="apple-converted-space"/>
    <w:basedOn w:val="673"/>
  </w:style>
  <w:style w:type="character" w:styleId="696" w:customStyle="1">
    <w:name w:val="Верхний колонтитул Знак"/>
    <w:basedOn w:val="673"/>
    <w:rPr>
      <w:color w:val="000000"/>
    </w:rPr>
  </w:style>
  <w:style w:type="character" w:styleId="697" w:customStyle="1">
    <w:name w:val="Нижний колонтитул Знак"/>
    <w:basedOn w:val="673"/>
    <w:rPr>
      <w:color w:val="000000"/>
    </w:rPr>
  </w:style>
  <w:style w:type="character" w:styleId="698" w:customStyle="1">
    <w:name w:val="ListLabel 1"/>
    <w:rPr>
      <w:rFonts w:cs="Courier New"/>
    </w:rPr>
  </w:style>
  <w:style w:type="character" w:styleId="699" w:customStyle="1">
    <w:name w:val="ListLabel 2"/>
    <w:rPr>
      <w:rFonts w:cs="Courier New"/>
    </w:rPr>
  </w:style>
  <w:style w:type="character" w:styleId="700" w:customStyle="1">
    <w:name w:val="ListLabel 3"/>
    <w:rPr>
      <w:rFonts w:cs="Courier New"/>
    </w:rPr>
  </w:style>
  <w:style w:type="character" w:styleId="701" w:customStyle="1">
    <w:name w:val="ListLabel 4"/>
    <w:rPr>
      <w:rFonts w:eastAsia="Times New Roman" w:cs="Arial"/>
    </w:rPr>
  </w:style>
  <w:style w:type="character" w:styleId="702" w:customStyle="1">
    <w:name w:val="ListLabel 5"/>
    <w:rPr>
      <w:rFonts w:cs="Courier New"/>
    </w:rPr>
  </w:style>
  <w:style w:type="character" w:styleId="703" w:customStyle="1">
    <w:name w:val="ListLabel 6"/>
    <w:rPr>
      <w:rFonts w:cs="Courier New"/>
    </w:rPr>
  </w:style>
  <w:style w:type="character" w:styleId="704" w:customStyle="1">
    <w:name w:val="ListLabel 7"/>
    <w:rPr>
      <w:rFonts w:cs="Courier New"/>
    </w:rPr>
  </w:style>
  <w:style w:type="numbering" w:styleId="705" w:customStyle="1">
    <w:name w:val="Нет списка1"/>
    <w:basedOn w:val="675"/>
    <w:pPr>
      <w:numPr>
        <w:ilvl w:val="0"/>
        <w:numId w:val="1"/>
      </w:numPr>
    </w:pPr>
  </w:style>
  <w:style w:type="paragraph" w:styleId="706" w:customStyle="1">
    <w:name w:val="Default"/>
    <w:pPr>
      <w:widowControl/>
    </w:pPr>
    <w:rPr>
      <w:color w:val="000000"/>
    </w:rPr>
  </w:style>
  <w:style w:type="paragraph" w:styleId="707" w:customStyle="1">
    <w:name w:val="Содержимое врезки"/>
    <w:basedOn w:val="671"/>
    <w:qFormat/>
    <w:pPr>
      <w:widowControl/>
    </w:pPr>
    <w:rPr>
      <w:rFonts w:ascii="Liberation Serif" w:hAnsi="Liberation Serif" w:eastAsia="SimSun" w:cs="Lucida Sans"/>
      <w:color w:val="00000a"/>
      <w:lang w:eastAsia="zh-CN" w:bidi="hi-IN"/>
    </w:rPr>
  </w:style>
  <w:style w:type="paragraph" w:styleId="708" w:customStyle="1">
    <w:name w:val="ConsPlusNormal"/>
    <w:rPr>
      <w:rFonts w:ascii="Calibri" w:hAnsi="Calibri" w:cs="Calibri"/>
      <w:sz w:val="22"/>
      <w:szCs w:val="20"/>
    </w:rPr>
  </w:style>
  <w:style w:type="table" w:styleId="709">
    <w:name w:val="Table Grid"/>
    <w:basedOn w:val="674"/>
    <w:uiPriority w:val="59"/>
    <w:pPr>
      <w:widowControl/>
    </w:pPr>
    <w:rPr>
      <w:rFonts w:asciiTheme="minorHAnsi" w:hAnsiTheme="minorHAnsi" w:eastAsiaTheme="minorHAnsi" w:cstheme="minorBidi"/>
      <w:sz w:val="22"/>
      <w:szCs w:val="22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footer" Target="footer1.xml" /><Relationship Id="rId10" Type="http://schemas.openxmlformats.org/officeDocument/2006/relationships/customXml" Target="../customXml/item1.xml" /><Relationship Id="rId11" Type="http://schemas.openxmlformats.org/officeDocument/2006/relationships/image" Target="media/image1.jpg"/><Relationship Id="rId12" Type="http://schemas.openxmlformats.org/officeDocument/2006/relationships/image" Target="media/image2.jpg"/><Relationship Id="rId13" Type="http://schemas.openxmlformats.org/officeDocument/2006/relationships/image" Target="media/image3.jpg"/><Relationship Id="rId14" Type="http://schemas.openxmlformats.org/officeDocument/2006/relationships/image" Target="media/image4.emf"/><Relationship Id="rId15" Type="http://schemas.openxmlformats.org/officeDocument/2006/relationships/image" Target="media/media1.svg"/><Relationship Id="rId16" Type="http://schemas.openxmlformats.org/officeDocument/2006/relationships/image" Target="media/image5.png"/><Relationship Id="rId17" Type="http://schemas.openxmlformats.org/officeDocument/2006/relationships/image" Target="media/image6.emf"/><Relationship Id="rId18" Type="http://schemas.openxmlformats.org/officeDocument/2006/relationships/image" Target="media/media2.svg"/><Relationship Id="rId19" Type="http://schemas.openxmlformats.org/officeDocument/2006/relationships/image" Target="media/image7.emf"/><Relationship Id="rId20" Type="http://schemas.openxmlformats.org/officeDocument/2006/relationships/image" Target="media/media3.svg"/><Relationship Id="rId21" Type="http://schemas.openxmlformats.org/officeDocument/2006/relationships/image" Target="media/image8.emf"/><Relationship Id="rId22" Type="http://schemas.openxmlformats.org/officeDocument/2006/relationships/image" Target="media/media4.svg"/><Relationship Id="rId23" Type="http://schemas.openxmlformats.org/officeDocument/2006/relationships/image" Target="media/image9.emf"/><Relationship Id="rId24" Type="http://schemas.openxmlformats.org/officeDocument/2006/relationships/image" Target="media/media5.svg"/><Relationship Id="rId25" Type="http://schemas.openxmlformats.org/officeDocument/2006/relationships/image" Target="media/image10.emf"/><Relationship Id="rId26" Type="http://schemas.openxmlformats.org/officeDocument/2006/relationships/image" Target="media/media6.svg"/><Relationship Id="rId27" Type="http://schemas.openxmlformats.org/officeDocument/2006/relationships/image" Target="media/image11.emf"/><Relationship Id="rId28" Type="http://schemas.openxmlformats.org/officeDocument/2006/relationships/image" Target="media/media7.svg"/><Relationship Id="rId29" Type="http://schemas.openxmlformats.org/officeDocument/2006/relationships/image" Target="media/image12.emf"/><Relationship Id="rId30" Type="http://schemas.openxmlformats.org/officeDocument/2006/relationships/image" Target="media/media8.svg"/><Relationship Id="rId31" Type="http://schemas.openxmlformats.org/officeDocument/2006/relationships/image" Target="media/image13.emf"/><Relationship Id="rId32" Type="http://schemas.openxmlformats.org/officeDocument/2006/relationships/image" Target="media/media9.svg"/><Relationship Id="rId33" Type="http://schemas.openxmlformats.org/officeDocument/2006/relationships/image" Target="media/image14.emf"/><Relationship Id="rId34" Type="http://schemas.openxmlformats.org/officeDocument/2006/relationships/image" Target="media/media10.svg"/><Relationship Id="rId35" Type="http://schemas.openxmlformats.org/officeDocument/2006/relationships/image" Target="media/image15.emf"/><Relationship Id="rId36" Type="http://schemas.openxmlformats.org/officeDocument/2006/relationships/image" Target="media/media11.svg"/><Relationship Id="rId37" Type="http://schemas.openxmlformats.org/officeDocument/2006/relationships/image" Target="media/image16.emf"/><Relationship Id="rId38" Type="http://schemas.openxmlformats.org/officeDocument/2006/relationships/image" Target="media/media12.svg"/><Relationship Id="rId39" Type="http://schemas.openxmlformats.org/officeDocument/2006/relationships/image" Target="media/image17.emf"/><Relationship Id="rId40" Type="http://schemas.openxmlformats.org/officeDocument/2006/relationships/image" Target="media/media13.svg"/><Relationship Id="rId41" Type="http://schemas.openxmlformats.org/officeDocument/2006/relationships/image" Target="media/image18.emf"/><Relationship Id="rId42" Type="http://schemas.openxmlformats.org/officeDocument/2006/relationships/image" Target="media/media14.svg"/><Relationship Id="rId43" Type="http://schemas.openxmlformats.org/officeDocument/2006/relationships/image" Target="media/image19.emf"/><Relationship Id="rId44" Type="http://schemas.openxmlformats.org/officeDocument/2006/relationships/image" Target="media/media15.svg"/><Relationship Id="rId45" Type="http://schemas.openxmlformats.org/officeDocument/2006/relationships/image" Target="media/image20.emf"/><Relationship Id="rId46" Type="http://schemas.openxmlformats.org/officeDocument/2006/relationships/image" Target="media/media16.svg"/><Relationship Id="rId47" Type="http://schemas.openxmlformats.org/officeDocument/2006/relationships/image" Target="media/image21.emf"/><Relationship Id="rId48" Type="http://schemas.openxmlformats.org/officeDocument/2006/relationships/image" Target="media/media17.svg"/><Relationship Id="rId49" Type="http://schemas.openxmlformats.org/officeDocument/2006/relationships/image" Target="media/image22.emf"/><Relationship Id="rId50" Type="http://schemas.openxmlformats.org/officeDocument/2006/relationships/image" Target="media/media18.svg"/><Relationship Id="rId51" Type="http://schemas.openxmlformats.org/officeDocument/2006/relationships/image" Target="media/image23.emf"/><Relationship Id="rId52" Type="http://schemas.openxmlformats.org/officeDocument/2006/relationships/image" Target="media/media19.svg"/><Relationship Id="rId53" Type="http://schemas.openxmlformats.org/officeDocument/2006/relationships/image" Target="media/image24.emf"/><Relationship Id="rId54" Type="http://schemas.openxmlformats.org/officeDocument/2006/relationships/image" Target="media/media20.svg"/><Relationship Id="rId55" Type="http://schemas.openxmlformats.org/officeDocument/2006/relationships/image" Target="media/image25.emf"/><Relationship Id="rId56" Type="http://schemas.openxmlformats.org/officeDocument/2006/relationships/image" Target="media/media21.svg"/><Relationship Id="rId57" Type="http://schemas.openxmlformats.org/officeDocument/2006/relationships/image" Target="media/image26.emf"/><Relationship Id="rId58" Type="http://schemas.openxmlformats.org/officeDocument/2006/relationships/image" Target="media/media22.svg"/><Relationship Id="rId59" Type="http://schemas.openxmlformats.org/officeDocument/2006/relationships/image" Target="media/image27.emf"/><Relationship Id="rId60" Type="http://schemas.openxmlformats.org/officeDocument/2006/relationships/image" Target="media/media23.svg"/><Relationship Id="rId61" Type="http://schemas.openxmlformats.org/officeDocument/2006/relationships/image" Target="media/image28.emf"/><Relationship Id="rId62" Type="http://schemas.openxmlformats.org/officeDocument/2006/relationships/image" Target="media/media24.svg"/><Relationship Id="rId63" Type="http://schemas.openxmlformats.org/officeDocument/2006/relationships/image" Target="media/image29.emf"/><Relationship Id="rId64" Type="http://schemas.openxmlformats.org/officeDocument/2006/relationships/image" Target="media/media25.svg"/><Relationship Id="rId65" Type="http://schemas.openxmlformats.org/officeDocument/2006/relationships/image" Target="media/image30.emf"/><Relationship Id="rId66" Type="http://schemas.openxmlformats.org/officeDocument/2006/relationships/image" Target="media/media26.svg"/><Relationship Id="rId67" Type="http://schemas.openxmlformats.org/officeDocument/2006/relationships/image" Target="media/image31.emf"/><Relationship Id="rId68" Type="http://schemas.openxmlformats.org/officeDocument/2006/relationships/image" Target="media/media27.svg"/><Relationship Id="rId69" Type="http://schemas.openxmlformats.org/officeDocument/2006/relationships/image" Target="media/image32.emf"/><Relationship Id="rId70" Type="http://schemas.openxmlformats.org/officeDocument/2006/relationships/image" Target="media/media28.svg"/><Relationship Id="rId71" Type="http://schemas.openxmlformats.org/officeDocument/2006/relationships/image" Target="media/image33.emf"/><Relationship Id="rId72" Type="http://schemas.openxmlformats.org/officeDocument/2006/relationships/image" Target="media/media29.svg"/><Relationship Id="rId73" Type="http://schemas.openxmlformats.org/officeDocument/2006/relationships/image" Target="media/image34.png"/><Relationship Id="rId74" Type="http://schemas.openxmlformats.org/officeDocument/2006/relationships/image" Target="media/image35.png"/><Relationship Id="rId75" Type="http://schemas.openxmlformats.org/officeDocument/2006/relationships/image" Target="media/image36.emf"/><Relationship Id="rId76" Type="http://schemas.openxmlformats.org/officeDocument/2006/relationships/image" Target="media/media30.svg"/><Relationship Id="rId77" Type="http://schemas.openxmlformats.org/officeDocument/2006/relationships/image" Target="media/image37.emf"/><Relationship Id="rId78" Type="http://schemas.openxmlformats.org/officeDocument/2006/relationships/image" Target="media/media31.svg"/><Relationship Id="rId79" Type="http://schemas.openxmlformats.org/officeDocument/2006/relationships/image" Target="media/image38.emf"/><Relationship Id="rId80" Type="http://schemas.openxmlformats.org/officeDocument/2006/relationships/image" Target="media/media32.svg"/><Relationship Id="rId81" Type="http://schemas.openxmlformats.org/officeDocument/2006/relationships/image" Target="media/image39.emf"/><Relationship Id="rId82" Type="http://schemas.openxmlformats.org/officeDocument/2006/relationships/image" Target="media/media33.svg"/><Relationship Id="rId83" Type="http://schemas.openxmlformats.org/officeDocument/2006/relationships/image" Target="media/image40.emf"/><Relationship Id="rId84" Type="http://schemas.openxmlformats.org/officeDocument/2006/relationships/image" Target="media/media34.svg"/><Relationship Id="rId85" Type="http://schemas.openxmlformats.org/officeDocument/2006/relationships/image" Target="media/image41.emf"/><Relationship Id="rId86" Type="http://schemas.openxmlformats.org/officeDocument/2006/relationships/image" Target="media/media35.svg"/><Relationship Id="rId87" Type="http://schemas.openxmlformats.org/officeDocument/2006/relationships/image" Target="media/image42.emf"/><Relationship Id="rId88" Type="http://schemas.openxmlformats.org/officeDocument/2006/relationships/image" Target="media/media36.svg"/><Relationship Id="rId89" Type="http://schemas.openxmlformats.org/officeDocument/2006/relationships/image" Target="media/image43.emf"/><Relationship Id="rId90" Type="http://schemas.openxmlformats.org/officeDocument/2006/relationships/image" Target="media/media37.svg"/><Relationship Id="rId91" Type="http://schemas.openxmlformats.org/officeDocument/2006/relationships/image" Target="media/image44.emf"/><Relationship Id="rId92" Type="http://schemas.openxmlformats.org/officeDocument/2006/relationships/image" Target="media/media38.svg"/><Relationship Id="rId93" Type="http://schemas.openxmlformats.org/officeDocument/2006/relationships/image" Target="media/image45.emf"/><Relationship Id="rId94" Type="http://schemas.openxmlformats.org/officeDocument/2006/relationships/image" Target="media/media39.svg"/><Relationship Id="rId95" Type="http://schemas.openxmlformats.org/officeDocument/2006/relationships/image" Target="media/image46.emf"/><Relationship Id="rId96" Type="http://schemas.openxmlformats.org/officeDocument/2006/relationships/image" Target="media/media40.svg"/><Relationship Id="rId97" Type="http://schemas.openxmlformats.org/officeDocument/2006/relationships/image" Target="media/image47.emf"/><Relationship Id="rId98" Type="http://schemas.openxmlformats.org/officeDocument/2006/relationships/image" Target="media/media41.svg"/><Relationship Id="rId99" Type="http://schemas.openxmlformats.org/officeDocument/2006/relationships/image" Target="media/image48.emf"/><Relationship Id="rId100" Type="http://schemas.openxmlformats.org/officeDocument/2006/relationships/image" Target="media/media42.svg"/><Relationship Id="rId101" Type="http://schemas.openxmlformats.org/officeDocument/2006/relationships/image" Target="media/image49.emf"/><Relationship Id="rId102" Type="http://schemas.openxmlformats.org/officeDocument/2006/relationships/image" Target="media/media43.svg"/><Relationship Id="rId103" Type="http://schemas.openxmlformats.org/officeDocument/2006/relationships/image" Target="media/image50.emf"/><Relationship Id="rId104" Type="http://schemas.openxmlformats.org/officeDocument/2006/relationships/image" Target="media/media44.svg"/><Relationship Id="rId105" Type="http://schemas.openxmlformats.org/officeDocument/2006/relationships/image" Target="media/image51.emf"/><Relationship Id="rId106" Type="http://schemas.openxmlformats.org/officeDocument/2006/relationships/image" Target="media/media45.svg"/><Relationship Id="rId107" Type="http://schemas.openxmlformats.org/officeDocument/2006/relationships/image" Target="media/image52.emf"/><Relationship Id="rId108" Type="http://schemas.openxmlformats.org/officeDocument/2006/relationships/image" Target="media/media46.svg"/><Relationship Id="rId109" Type="http://schemas.openxmlformats.org/officeDocument/2006/relationships/image" Target="media/image53.emf"/><Relationship Id="rId110" Type="http://schemas.openxmlformats.org/officeDocument/2006/relationships/image" Target="media/media47.svg"/><Relationship Id="rId111" Type="http://schemas.openxmlformats.org/officeDocument/2006/relationships/image" Target="media/image54.emf"/><Relationship Id="rId112" Type="http://schemas.openxmlformats.org/officeDocument/2006/relationships/image" Target="media/media48.svg"/><Relationship Id="rId113" Type="http://schemas.openxmlformats.org/officeDocument/2006/relationships/image" Target="media/image55.emf"/><Relationship Id="rId114" Type="http://schemas.openxmlformats.org/officeDocument/2006/relationships/image" Target="media/media49.svg"/><Relationship Id="rId115" Type="http://schemas.openxmlformats.org/officeDocument/2006/relationships/image" Target="media/image56.emf"/><Relationship Id="rId116" Type="http://schemas.openxmlformats.org/officeDocument/2006/relationships/image" Target="media/media50.svg"/><Relationship Id="rId117" Type="http://schemas.openxmlformats.org/officeDocument/2006/relationships/image" Target="media/image57.emf"/><Relationship Id="rId118" Type="http://schemas.openxmlformats.org/officeDocument/2006/relationships/image" Target="media/media51.sv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C7C6F5-F422-4D94-8EEF-A2CB0103FE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Р7-Офис/2025.2.2.831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ulanov</cp:lastModifiedBy>
  <cp:revision>31</cp:revision>
  <dcterms:created xsi:type="dcterms:W3CDTF">2021-04-01T09:20:00Z</dcterms:created>
  <dcterms:modified xsi:type="dcterms:W3CDTF">2025-08-22T08:56:51Z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Microsoft</vt:lpwstr>
  </property>
  <property fmtid="{D5CDD505-2E9C-101B-9397-08002B2CF9AE}" pid="4" name="DocSecurity">
    <vt:r8>0.000000</vt:r8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